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4F81BD"/>
          <w:sz w:val="26"/>
        </w:rPr>
        <w:t>FICHA TÉCNICA</w:t>
      </w:r>
    </w:p>
    <w:p>
      <w:pPr>
        <w:jc w:val="center"/>
      </w:pPr>
      <w:r>
        <w:rPr>
          <w:rFonts w:ascii="Calibri" w:hAnsi="Calibri"/>
          <w:b/>
          <w:color w:val="4F81BD"/>
          <w:sz w:val="26"/>
        </w:rPr>
        <w:t>GLAFORNIL 1000 COMPRIMIDOS RECUBIERTOS 1000 mg</w:t>
      </w:r>
    </w:p>
    <w:p>
      <w:r>
        <w:t>Principio activo: METFORMINA CLORHIDRATO – Presentación: Comprimidos recubiertos</w:t>
      </w:r>
    </w:p>
    <w:tbl>
      <w:tblPr>
        <w:tblW w:type="auto" w:w="0"/>
        <w:tblLook w:firstColumn="1" w:firstRow="1" w:lastColumn="0" w:lastRow="0" w:noHBand="0" w:noVBand="1" w:val="04A0"/>
      </w:tblPr>
      <w:tblGrid>
        <w:gridCol w:w="4320"/>
        <w:gridCol w:w="4320"/>
      </w:tblGrid>
      <w:tr>
        <w:tc>
          <w:tcPr>
            <w:tcW w:type="dxa" w:w="4320"/>
          </w:tcPr>
          <w:p>
            <w:r>
              <w:t>1. Registro ISP</w:t>
            </w:r>
          </w:p>
        </w:tc>
        <w:tc>
          <w:tcPr>
            <w:tcW w:type="dxa" w:w="4320"/>
          </w:tcPr>
          <w:p>
            <w:r>
              <w:t>F-10050/21</w:t>
            </w:r>
          </w:p>
        </w:tc>
      </w:tr>
      <w:tr>
        <w:tc>
          <w:tcPr>
            <w:tcW w:type="dxa" w:w="4320"/>
          </w:tcPr>
          <w:p>
            <w:r>
              <w:t>2. Titular</w:t>
            </w:r>
          </w:p>
        </w:tc>
        <w:tc>
          <w:tcPr>
            <w:tcW w:type="dxa" w:w="4320"/>
          </w:tcPr>
          <w:p>
            <w:r>
              <w:t>MERCK S.A.</w:t>
            </w:r>
          </w:p>
        </w:tc>
      </w:tr>
      <w:tr>
        <w:tc>
          <w:tcPr>
            <w:tcW w:type="dxa" w:w="4320"/>
          </w:tcPr>
          <w:p>
            <w:r>
              <w:t>3. Estado del Registro</w:t>
            </w:r>
          </w:p>
        </w:tc>
        <w:tc>
          <w:tcPr>
            <w:tcW w:type="dxa" w:w="4320"/>
          </w:tcPr>
          <w:p>
            <w:r>
              <w:t>Vigente</w:t>
            </w:r>
          </w:p>
        </w:tc>
      </w:tr>
      <w:tr>
        <w:tc>
          <w:tcPr>
            <w:tcW w:type="dxa" w:w="4320"/>
          </w:tcPr>
          <w:p>
            <w:r>
              <w:t>4. Resolución / Fecha</w:t>
            </w:r>
          </w:p>
        </w:tc>
        <w:tc>
          <w:tcPr>
            <w:tcW w:type="dxa" w:w="4320"/>
          </w:tcPr>
          <w:p>
            <w:r>
              <w:t>Resolución 10907 - 13/12/2001</w:t>
            </w:r>
          </w:p>
        </w:tc>
      </w:tr>
      <w:tr>
        <w:tc>
          <w:tcPr>
            <w:tcW w:type="dxa" w:w="4320"/>
          </w:tcPr>
          <w:p>
            <w:r>
              <w:t>5. Última Renovación</w:t>
            </w:r>
          </w:p>
        </w:tc>
        <w:tc>
          <w:tcPr>
            <w:tcW w:type="dxa" w:w="4320"/>
          </w:tcPr>
          <w:p>
            <w:r>
              <w:t>13/12/2021</w:t>
            </w:r>
          </w:p>
        </w:tc>
      </w:tr>
      <w:tr>
        <w:tc>
          <w:tcPr>
            <w:tcW w:type="dxa" w:w="4320"/>
          </w:tcPr>
          <w:p>
            <w:r>
              <w:t>6. Fecha Próxima Renovación</w:t>
            </w:r>
          </w:p>
        </w:tc>
        <w:tc>
          <w:tcPr>
            <w:tcW w:type="dxa" w:w="4320"/>
          </w:tcPr>
          <w:p>
            <w:r>
              <w:t>13/12/2026</w:t>
            </w:r>
          </w:p>
        </w:tc>
      </w:tr>
      <w:tr>
        <w:tc>
          <w:tcPr>
            <w:tcW w:type="dxa" w:w="4320"/>
          </w:tcPr>
          <w:p>
            <w:r>
              <w:t>7. Régimen</w:t>
            </w:r>
          </w:p>
        </w:tc>
        <w:tc>
          <w:tcPr>
            <w:tcW w:type="dxa" w:w="4320"/>
          </w:tcPr>
          <w:p>
            <w:r>
              <w:t>Importado Terminado</w:t>
            </w:r>
          </w:p>
        </w:tc>
      </w:tr>
      <w:tr>
        <w:tc>
          <w:tcPr>
            <w:tcW w:type="dxa" w:w="4320"/>
          </w:tcPr>
          <w:p>
            <w:r>
              <w:t>8. Vía de Administración</w:t>
            </w:r>
          </w:p>
        </w:tc>
        <w:tc>
          <w:tcPr>
            <w:tcW w:type="dxa" w:w="4320"/>
          </w:tcPr>
          <w:p>
            <w:r>
              <w:t>Oral</w:t>
            </w:r>
          </w:p>
        </w:tc>
      </w:tr>
      <w:tr>
        <w:tc>
          <w:tcPr>
            <w:tcW w:type="dxa" w:w="4320"/>
          </w:tcPr>
          <w:p>
            <w:r>
              <w:t>9. Condición de Venta</w:t>
            </w:r>
          </w:p>
        </w:tc>
        <w:tc>
          <w:tcPr>
            <w:tcW w:type="dxa" w:w="4320"/>
          </w:tcPr>
          <w:p>
            <w:r>
              <w:t>Receta Simple</w:t>
            </w:r>
          </w:p>
        </w:tc>
      </w:tr>
      <w:tr>
        <w:tc>
          <w:tcPr>
            <w:tcW w:type="dxa" w:w="4320"/>
          </w:tcPr>
          <w:p>
            <w:r>
              <w:t>10. Indicación</w:t>
            </w:r>
          </w:p>
        </w:tc>
        <w:tc>
          <w:tcPr>
            <w:tcW w:type="dxa" w:w="4320"/>
          </w:tcPr>
          <w:p>
            <w:r>
              <w:t>Como monoterapia, está indicado como coadyuvante de la dieta para disminuir la glicemia en pacientes con diabetes tipo II cuya hiperglicemia no puede ser controlada solamente con la dieta. Como monoterapia, está indicado como coadyuvante de la dieta y ejercicio para disminuir la glicemia en pacientes adultos y niños mayores de 10 años con diabetes tipo II cuya hiperglicemia no puede ser controlada solamente con dieta. Puede ser empleada conjuntamente con sulfonilurea o insulina para mejorar control glicémico.</w:t>
            </w:r>
          </w:p>
        </w:tc>
      </w:tr>
      <w:tr>
        <w:tc>
          <w:tcPr>
            <w:tcW w:type="dxa" w:w="4320"/>
          </w:tcPr>
          <w:p>
            <w:r>
              <w:t>11. Composición (Principio Activo)</w:t>
            </w:r>
          </w:p>
        </w:tc>
        <w:tc>
          <w:tcPr>
            <w:tcW w:type="dxa" w:w="4320"/>
          </w:tcPr>
          <w:p>
            <w:r>
              <w:t>METFORMINA CLORHIDRATO 1000 mg Núcleo</w:t>
            </w:r>
          </w:p>
        </w:tc>
      </w:tr>
      <w:tr>
        <w:tc>
          <w:tcPr>
            <w:tcW w:type="dxa" w:w="4320"/>
          </w:tcPr>
          <w:p>
            <w:r>
              <w:t>12. Envase y Conservación</w:t>
            </w:r>
          </w:p>
        </w:tc>
        <w:tc>
          <w:tcPr>
            <w:tcW w:type="dxa" w:w="4320"/>
          </w:tcPr>
          <w:p>
            <w:r>
              <w:t>Envase Clínico BLISTER DE PVC/ALUMINIO IMPRESO. 48 Meses Almacenado A No Más De 25ºc 50, 100, 500 ó 1000 COMPRIMIDOS RECUBIERTOS Muestra Médica BLISTER DE PVC/ALUMINIO IMPRESO. 48 Meses Almacenado A No Más De 25ºc 6, 12, 18, 24 ó 30 COMPRIMIDOS RECUBIERTOS Venta Público BLISTER DE PVC/ALUMINIO IMPRESO. 48 Meses Almacenado A No Más De 25ºc 30 ó 60 COMPRIMIDOS RECUBIERTOS</w:t>
            </w:r>
          </w:p>
        </w:tc>
      </w:tr>
    </w:tbl>
    <w:p>
      <w:r>
        <w:br/>
        <w:t>Fuente: Instituto de Salud Pública de Chile</w:t>
      </w:r>
    </w:p>
    <w:p>
      <w:r>
        <w:t>URL: https://registrosanitario.ispch.gob.cl/Ficha.aspx?RegistroISP=F-10050/21</w:t>
      </w:r>
    </w:p>
    <w:p>
      <w:r>
        <w:t>Fecha de visita: 06-05-2026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