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5"/>
        <w:gridCol w:w="2155"/>
      </w:tblGrid>
      <w:tr w:rsidR="00BD4206" w14:paraId="1B473A47" w14:textId="77777777" w:rsidTr="00E66673">
        <w:trPr>
          <w:trHeight w:val="2840"/>
          <w:jc w:val="center"/>
        </w:trPr>
        <w:tc>
          <w:tcPr>
            <w:tcW w:w="8115" w:type="dxa"/>
            <w:vAlign w:val="center"/>
          </w:tcPr>
          <w:p w14:paraId="2A7F9B4F" w14:textId="26B33C1B" w:rsidR="00867581" w:rsidRDefault="00096EE1" w:rsidP="00211084">
            <w:pPr>
              <w:pStyle w:val="Textoindependiente"/>
              <w:tabs>
                <w:tab w:val="left" w:pos="2750"/>
              </w:tabs>
              <w:ind w:right="-113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COMPOSICIÓN Y PRESENTACIÓN:</w:t>
            </w:r>
          </w:p>
          <w:p w14:paraId="6B67C60E" w14:textId="77777777" w:rsidR="00163224" w:rsidRPr="00724B6E" w:rsidRDefault="00163224" w:rsidP="00211084">
            <w:pPr>
              <w:pStyle w:val="Textoindependiente"/>
              <w:tabs>
                <w:tab w:val="left" w:pos="2750"/>
              </w:tabs>
              <w:ind w:right="-113"/>
              <w:jc w:val="left"/>
              <w:rPr>
                <w:b/>
                <w:sz w:val="22"/>
                <w:szCs w:val="22"/>
              </w:rPr>
            </w:pPr>
          </w:p>
          <w:p w14:paraId="5C5B7B2D" w14:textId="56BA2301" w:rsidR="00211084" w:rsidRPr="00211084" w:rsidRDefault="00E46369" w:rsidP="00E66673">
            <w:pPr>
              <w:pStyle w:val="Textoindependiente"/>
              <w:tabs>
                <w:tab w:val="left" w:pos="2750"/>
              </w:tabs>
              <w:ind w:right="-113"/>
              <w:jc w:val="both"/>
              <w:rPr>
                <w:rFonts w:cs="Arial"/>
              </w:rPr>
            </w:pPr>
            <w:r>
              <w:rPr>
                <w:rFonts w:cs="Arial"/>
              </w:rPr>
              <w:t>Cada capsula</w:t>
            </w:r>
            <w:r w:rsidR="00211084" w:rsidRPr="00211084">
              <w:rPr>
                <w:rFonts w:cs="Arial"/>
              </w:rPr>
              <w:t xml:space="preserve"> contiene:</w:t>
            </w:r>
          </w:p>
          <w:p w14:paraId="3165BBA8" w14:textId="2B66E8FB" w:rsidR="00211084" w:rsidRPr="00211084" w:rsidRDefault="0032003A" w:rsidP="00E6667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Nitrofurantoína microcristales 100 mg </w:t>
            </w:r>
          </w:p>
          <w:p w14:paraId="0B867613" w14:textId="1C4FFC0A" w:rsidR="006D2F7B" w:rsidRDefault="00211084" w:rsidP="006D2F7B">
            <w:pPr>
              <w:jc w:val="both"/>
              <w:rPr>
                <w:rFonts w:ascii="Arial" w:hAnsi="Arial" w:cs="Arial"/>
              </w:rPr>
            </w:pPr>
            <w:r w:rsidRPr="00211084">
              <w:rPr>
                <w:rFonts w:ascii="Arial" w:hAnsi="Arial" w:cs="Arial"/>
              </w:rPr>
              <w:t>Excipientes:</w:t>
            </w:r>
            <w:r w:rsidR="00A41C27">
              <w:rPr>
                <w:rFonts w:ascii="Arial" w:hAnsi="Arial" w:cs="Arial"/>
              </w:rPr>
              <w:t xml:space="preserve"> Almidón de maíz, almidón sodio </w:t>
            </w:r>
            <w:proofErr w:type="spellStart"/>
            <w:r w:rsidR="00E841BC">
              <w:rPr>
                <w:rFonts w:ascii="Arial" w:hAnsi="Arial" w:cs="Arial"/>
              </w:rPr>
              <w:t>glicolato</w:t>
            </w:r>
            <w:proofErr w:type="spellEnd"/>
            <w:r w:rsidR="00E841BC">
              <w:rPr>
                <w:rFonts w:ascii="Arial" w:hAnsi="Arial" w:cs="Arial"/>
              </w:rPr>
              <w:t>, L</w:t>
            </w:r>
            <w:r w:rsidR="00A41C27">
              <w:rPr>
                <w:rFonts w:ascii="Arial" w:hAnsi="Arial" w:cs="Arial"/>
              </w:rPr>
              <w:t xml:space="preserve">auril sulfato de sodio, </w:t>
            </w:r>
            <w:r w:rsidR="00E841BC">
              <w:rPr>
                <w:rFonts w:ascii="Arial" w:hAnsi="Arial" w:cs="Arial"/>
              </w:rPr>
              <w:t>E</w:t>
            </w:r>
            <w:r w:rsidR="00A41C27">
              <w:rPr>
                <w:rFonts w:ascii="Arial" w:hAnsi="Arial" w:cs="Arial"/>
              </w:rPr>
              <w:t>stearato de magnesio,</w:t>
            </w:r>
            <w:r w:rsidR="00E841BC">
              <w:rPr>
                <w:rFonts w:ascii="Arial" w:hAnsi="Arial" w:cs="Arial"/>
              </w:rPr>
              <w:t xml:space="preserve"> </w:t>
            </w:r>
            <w:r w:rsidR="00A41C27">
              <w:rPr>
                <w:rFonts w:ascii="Arial" w:hAnsi="Arial" w:cs="Arial"/>
              </w:rPr>
              <w:t xml:space="preserve">Lactosa </w:t>
            </w:r>
            <w:proofErr w:type="spellStart"/>
            <w:proofErr w:type="gramStart"/>
            <w:r w:rsidR="00A41C27">
              <w:rPr>
                <w:rFonts w:ascii="Arial" w:hAnsi="Arial" w:cs="Arial"/>
              </w:rPr>
              <w:t>monohidrato,colorante</w:t>
            </w:r>
            <w:proofErr w:type="spellEnd"/>
            <w:proofErr w:type="gramEnd"/>
            <w:r w:rsidR="00A41C27">
              <w:rPr>
                <w:rFonts w:ascii="Arial" w:hAnsi="Arial" w:cs="Arial"/>
              </w:rPr>
              <w:t xml:space="preserve"> FD&amp;C </w:t>
            </w:r>
            <w:proofErr w:type="spellStart"/>
            <w:r w:rsidR="00A41C27">
              <w:rPr>
                <w:rFonts w:ascii="Arial" w:hAnsi="Arial" w:cs="Arial"/>
              </w:rPr>
              <w:t>Azul,N°</w:t>
            </w:r>
            <w:proofErr w:type="spellEnd"/>
            <w:r w:rsidR="00A41C27">
              <w:rPr>
                <w:rFonts w:ascii="Arial" w:hAnsi="Arial" w:cs="Arial"/>
              </w:rPr>
              <w:t xml:space="preserve"> 1, </w:t>
            </w:r>
            <w:r w:rsidR="00E841BC">
              <w:rPr>
                <w:rFonts w:ascii="Arial" w:hAnsi="Arial" w:cs="Arial"/>
              </w:rPr>
              <w:t>Dióxido</w:t>
            </w:r>
            <w:r w:rsidR="00A41C27">
              <w:rPr>
                <w:rFonts w:ascii="Arial" w:hAnsi="Arial" w:cs="Arial"/>
              </w:rPr>
              <w:t xml:space="preserve"> de titanio,</w:t>
            </w:r>
            <w:r w:rsidR="00E841BC">
              <w:rPr>
                <w:rFonts w:ascii="Arial" w:hAnsi="Arial" w:cs="Arial"/>
              </w:rPr>
              <w:t xml:space="preserve"> </w:t>
            </w:r>
            <w:proofErr w:type="spellStart"/>
            <w:r w:rsidR="00A41C27">
              <w:rPr>
                <w:rFonts w:ascii="Arial" w:hAnsi="Arial" w:cs="Arial"/>
              </w:rPr>
              <w:t>colarante</w:t>
            </w:r>
            <w:proofErr w:type="spellEnd"/>
            <w:r w:rsidR="00A41C27">
              <w:rPr>
                <w:rFonts w:ascii="Arial" w:hAnsi="Arial" w:cs="Arial"/>
              </w:rPr>
              <w:t xml:space="preserve"> </w:t>
            </w:r>
            <w:r w:rsidR="006D2F7B">
              <w:rPr>
                <w:rFonts w:ascii="Arial" w:hAnsi="Arial" w:cs="Arial"/>
              </w:rPr>
              <w:t xml:space="preserve">FD&amp;C </w:t>
            </w:r>
            <w:proofErr w:type="spellStart"/>
            <w:r w:rsidR="006D2F7B">
              <w:rPr>
                <w:rFonts w:ascii="Arial" w:hAnsi="Arial" w:cs="Arial"/>
              </w:rPr>
              <w:t>A</w:t>
            </w:r>
            <w:r w:rsidR="006D2F7B">
              <w:rPr>
                <w:rFonts w:ascii="Arial" w:hAnsi="Arial" w:cs="Arial"/>
              </w:rPr>
              <w:t>marillo,N°</w:t>
            </w:r>
            <w:proofErr w:type="spellEnd"/>
            <w:r w:rsidR="006D2F7B">
              <w:rPr>
                <w:rFonts w:ascii="Arial" w:hAnsi="Arial" w:cs="Arial"/>
              </w:rPr>
              <w:t xml:space="preserve"> 5, </w:t>
            </w:r>
            <w:proofErr w:type="spellStart"/>
            <w:r w:rsidR="006D2F7B">
              <w:rPr>
                <w:rFonts w:ascii="Arial" w:hAnsi="Arial" w:cs="Arial"/>
              </w:rPr>
              <w:t>colarante</w:t>
            </w:r>
            <w:proofErr w:type="spellEnd"/>
            <w:r w:rsidR="006D2F7B">
              <w:rPr>
                <w:rFonts w:ascii="Arial" w:hAnsi="Arial" w:cs="Arial"/>
              </w:rPr>
              <w:t xml:space="preserve"> </w:t>
            </w:r>
            <w:r w:rsidR="006D2F7B">
              <w:rPr>
                <w:rFonts w:ascii="Arial" w:hAnsi="Arial" w:cs="Arial"/>
              </w:rPr>
              <w:t xml:space="preserve">FD&amp;C </w:t>
            </w:r>
            <w:proofErr w:type="spellStart"/>
            <w:r w:rsidR="006D2F7B">
              <w:rPr>
                <w:rFonts w:ascii="Arial" w:hAnsi="Arial" w:cs="Arial"/>
              </w:rPr>
              <w:t>Rojo,N°</w:t>
            </w:r>
            <w:proofErr w:type="spellEnd"/>
            <w:r w:rsidR="006D2F7B">
              <w:rPr>
                <w:rFonts w:ascii="Arial" w:hAnsi="Arial" w:cs="Arial"/>
              </w:rPr>
              <w:t xml:space="preserve"> 40</w:t>
            </w:r>
            <w:r w:rsidR="00445156">
              <w:rPr>
                <w:rFonts w:ascii="Arial" w:hAnsi="Arial" w:cs="Arial"/>
              </w:rPr>
              <w:t>,Gelatina.</w:t>
            </w:r>
          </w:p>
          <w:p w14:paraId="10EE58E6" w14:textId="2E659EB6" w:rsidR="00BD4206" w:rsidRDefault="00BD4206" w:rsidP="00E66673">
            <w:pPr>
              <w:jc w:val="both"/>
              <w:rPr>
                <w:rFonts w:ascii="Arial" w:hAnsi="Arial" w:cs="Arial"/>
              </w:rPr>
            </w:pPr>
          </w:p>
          <w:p w14:paraId="22D5329E" w14:textId="2618D16B" w:rsidR="00BD4206" w:rsidRDefault="00BD4206" w:rsidP="00346F8F">
            <w:pPr>
              <w:tabs>
                <w:tab w:val="left" w:pos="9255"/>
              </w:tabs>
              <w:outlineLvl w:val="0"/>
              <w:rPr>
                <w:rFonts w:ascii="Arial" w:hAnsi="Arial"/>
                <w:b/>
                <w:sz w:val="22"/>
              </w:rPr>
            </w:pPr>
          </w:p>
          <w:p w14:paraId="6803A0AD" w14:textId="3746B9D1" w:rsidR="00BD4206" w:rsidRDefault="00211084" w:rsidP="00346F8F">
            <w:pPr>
              <w:tabs>
                <w:tab w:val="left" w:pos="9255"/>
              </w:tabs>
              <w:outlineLvl w:val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CLASIFICACIÓN</w:t>
            </w:r>
            <w:r w:rsidR="007909D7">
              <w:rPr>
                <w:rFonts w:ascii="Arial" w:hAnsi="Arial"/>
                <w:b/>
                <w:sz w:val="22"/>
              </w:rPr>
              <w:t>:</w:t>
            </w:r>
          </w:p>
          <w:p w14:paraId="1A88E673" w14:textId="77777777" w:rsidR="00E841BC" w:rsidRDefault="00E841BC" w:rsidP="007909D7">
            <w:pPr>
              <w:pStyle w:val="Textoindependiente"/>
              <w:jc w:val="left"/>
              <w:outlineLvl w:val="0"/>
            </w:pPr>
          </w:p>
          <w:p w14:paraId="3121D767" w14:textId="17EBD835" w:rsidR="00BD4206" w:rsidRPr="00867581" w:rsidRDefault="00E841BC" w:rsidP="007909D7">
            <w:pPr>
              <w:pStyle w:val="Textoindependiente"/>
              <w:jc w:val="left"/>
              <w:outlineLvl w:val="0"/>
              <w:rPr>
                <w:b/>
                <w:sz w:val="22"/>
              </w:rPr>
            </w:pPr>
            <w:r>
              <w:t>Antiséptico urinario</w:t>
            </w:r>
            <w:r w:rsidR="00096EE1">
              <w:t>.</w:t>
            </w:r>
            <w:r w:rsidR="00211084">
              <w:rPr>
                <w:b/>
                <w:sz w:val="22"/>
              </w:rPr>
              <w:t xml:space="preserve"> </w:t>
            </w:r>
          </w:p>
        </w:tc>
        <w:tc>
          <w:tcPr>
            <w:tcW w:w="2155" w:type="dxa"/>
          </w:tcPr>
          <w:p w14:paraId="7A514815" w14:textId="38A3A05A" w:rsidR="00BD4206" w:rsidRDefault="00BD4206" w:rsidP="008B2795">
            <w:pPr>
              <w:pStyle w:val="Textoindependiente"/>
              <w:outlineLvl w:val="0"/>
              <w:rPr>
                <w:sz w:val="32"/>
                <w:lang w:val="es-MX"/>
              </w:rPr>
            </w:pPr>
          </w:p>
        </w:tc>
      </w:tr>
    </w:tbl>
    <w:p w14:paraId="68B7C8EC" w14:textId="3A7CEC10" w:rsidR="00383C37" w:rsidRDefault="00272643" w:rsidP="004A23F4">
      <w:pPr>
        <w:spacing w:before="200" w:after="200"/>
        <w:ind w:left="426" w:right="29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INDICACIÓ</w:t>
      </w:r>
      <w:r w:rsidRPr="00272643">
        <w:rPr>
          <w:rFonts w:ascii="Arial" w:hAnsi="Arial"/>
          <w:b/>
          <w:sz w:val="22"/>
        </w:rPr>
        <w:t>N</w:t>
      </w:r>
      <w:r w:rsidR="00383C37" w:rsidRPr="00272643">
        <w:rPr>
          <w:rFonts w:ascii="Arial" w:hAnsi="Arial"/>
          <w:b/>
          <w:sz w:val="22"/>
        </w:rPr>
        <w:t>:</w:t>
      </w:r>
    </w:p>
    <w:p w14:paraId="7060AF51" w14:textId="4E4DACA1" w:rsidR="007909D7" w:rsidRPr="004A23F4" w:rsidRDefault="007909D7" w:rsidP="004A23F4">
      <w:pPr>
        <w:ind w:left="426" w:right="312"/>
        <w:jc w:val="both"/>
        <w:rPr>
          <w:rFonts w:ascii="Arial" w:hAnsi="Arial" w:cs="Arial"/>
        </w:rPr>
      </w:pPr>
      <w:r w:rsidRPr="004A23F4">
        <w:rPr>
          <w:rFonts w:ascii="Arial" w:hAnsi="Arial" w:cs="Arial"/>
        </w:rPr>
        <w:t xml:space="preserve">Tratamiento </w:t>
      </w:r>
      <w:r w:rsidR="00E841BC">
        <w:rPr>
          <w:rFonts w:ascii="Arial" w:hAnsi="Arial" w:cs="Arial"/>
        </w:rPr>
        <w:t>de infecciones bacterianas del tracto urinario causadas por gérmenes sensibles, demostrado por urocultivo y antibiograma.</w:t>
      </w:r>
    </w:p>
    <w:p w14:paraId="6A3EBE88" w14:textId="669A7E19" w:rsidR="001754C4" w:rsidRPr="001754C4" w:rsidRDefault="00315A7E" w:rsidP="004A23F4">
      <w:pPr>
        <w:spacing w:before="200" w:after="200"/>
        <w:ind w:left="426" w:right="284"/>
        <w:jc w:val="both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FORMA DE ADMINISTRACIÓN:</w:t>
      </w:r>
    </w:p>
    <w:p w14:paraId="255A6CB8" w14:textId="53F0CD2A" w:rsidR="007909D7" w:rsidRPr="007909D7" w:rsidRDefault="00E841BC" w:rsidP="004A23F4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Ud. puede tomar este medicamento con algún alimento de leche</w:t>
      </w:r>
      <w:r w:rsidR="001E20CE">
        <w:rPr>
          <w:rFonts w:ascii="Arial" w:hAnsi="Arial" w:cs="Arial"/>
        </w:rPr>
        <w:t>,</w:t>
      </w:r>
      <w:r w:rsidR="00762B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 disminuir la posibilidad de malestares estomacales.</w:t>
      </w:r>
    </w:p>
    <w:p w14:paraId="23410250" w14:textId="44B351D3" w:rsidR="00383C37" w:rsidRPr="000D4680" w:rsidRDefault="001754C4" w:rsidP="000D4680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1754C4">
        <w:rPr>
          <w:b/>
          <w:sz w:val="22"/>
        </w:rPr>
        <w:t>ADVERTENCIAS Y PRECAUCIONES:</w:t>
      </w:r>
    </w:p>
    <w:p w14:paraId="05BEB2B8" w14:textId="45869867" w:rsidR="000D4680" w:rsidRDefault="000D4680" w:rsidP="00E34F77">
      <w:pPr>
        <w:pStyle w:val="Textoindependiente"/>
        <w:spacing w:before="200" w:after="120"/>
        <w:ind w:left="426" w:right="284"/>
        <w:jc w:val="both"/>
        <w:outlineLvl w:val="0"/>
        <w:rPr>
          <w:rFonts w:cs="Arial"/>
        </w:rPr>
      </w:pPr>
      <w:r w:rsidRPr="000D4680">
        <w:rPr>
          <w:rFonts w:cs="Arial"/>
        </w:rPr>
        <w:t xml:space="preserve">Ud. Debe informar a su médico </w:t>
      </w:r>
      <w:r>
        <w:rPr>
          <w:rFonts w:cs="Arial"/>
        </w:rPr>
        <w:t xml:space="preserve">si ha sufrido alguna reacción inusual o alergia a la nitrofurantoína o cualquier otro           medicamento antes de usar este </w:t>
      </w:r>
      <w:r w:rsidR="001E20CE">
        <w:rPr>
          <w:rFonts w:cs="Arial"/>
        </w:rPr>
        <w:t>fármaco. La administración de este medicamento requiere que su médico le diagnostique y supervise el curso de su enfermedad (infección urinaria) Es importante que Ud. siga las instrucciones de este:</w:t>
      </w:r>
    </w:p>
    <w:p w14:paraId="579179FD" w14:textId="710250D5" w:rsidR="001E20CE" w:rsidRPr="00762B3E" w:rsidRDefault="001E20CE" w:rsidP="001E20CE">
      <w:pPr>
        <w:pStyle w:val="Textoindependiente"/>
        <w:numPr>
          <w:ilvl w:val="0"/>
          <w:numId w:val="17"/>
        </w:numPr>
        <w:spacing w:before="200" w:after="120"/>
        <w:ind w:right="284"/>
        <w:jc w:val="both"/>
        <w:outlineLvl w:val="0"/>
      </w:pPr>
      <w:r w:rsidRPr="00762B3E">
        <w:t>No deje de tomar el medicamento aun cuando las molestias hayan pasado.</w:t>
      </w:r>
    </w:p>
    <w:p w14:paraId="00E3FAE9" w14:textId="13C7CDDD" w:rsidR="001E20CE" w:rsidRPr="00762B3E" w:rsidRDefault="001E20CE" w:rsidP="001E20CE">
      <w:pPr>
        <w:pStyle w:val="Textoindependiente"/>
        <w:numPr>
          <w:ilvl w:val="0"/>
          <w:numId w:val="17"/>
        </w:numPr>
        <w:spacing w:before="200" w:after="120"/>
        <w:ind w:right="284"/>
        <w:jc w:val="both"/>
        <w:outlineLvl w:val="0"/>
      </w:pPr>
      <w:r w:rsidRPr="00762B3E">
        <w:t xml:space="preserve">No </w:t>
      </w:r>
      <w:r w:rsidR="00762B3E" w:rsidRPr="00762B3E">
        <w:t>intente repetir o mantener el tratamiento por tiempo indefinido</w:t>
      </w:r>
    </w:p>
    <w:p w14:paraId="3ED6CC90" w14:textId="0E9294C0" w:rsidR="002D0DEF" w:rsidRPr="009339FC" w:rsidRDefault="002D0DEF" w:rsidP="00F15946">
      <w:pPr>
        <w:pStyle w:val="Prrafodelista"/>
        <w:ind w:left="1146" w:right="284"/>
        <w:rPr>
          <w:rFonts w:ascii="Arial" w:hAnsi="Arial" w:cs="Arial"/>
          <w:sz w:val="20"/>
          <w:szCs w:val="20"/>
          <w:lang w:val="es-ES"/>
        </w:rPr>
      </w:pPr>
      <w:r w:rsidRPr="009339FC">
        <w:rPr>
          <w:rFonts w:ascii="Arial" w:hAnsi="Arial" w:cs="Arial"/>
          <w:sz w:val="20"/>
          <w:szCs w:val="20"/>
          <w:lang w:val="es-ES"/>
        </w:rPr>
        <w:t>.</w:t>
      </w:r>
    </w:p>
    <w:p w14:paraId="5A21DADD" w14:textId="19240031" w:rsidR="002D0DEF" w:rsidRDefault="002D0DEF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>
        <w:rPr>
          <w:b/>
          <w:sz w:val="22"/>
        </w:rPr>
        <w:t xml:space="preserve">INTERACCIONES: </w:t>
      </w:r>
    </w:p>
    <w:p w14:paraId="228E97F3" w14:textId="0912CDDA" w:rsidR="00E07E26" w:rsidRPr="00E07E26" w:rsidRDefault="002D0DEF" w:rsidP="004A23F4">
      <w:pPr>
        <w:ind w:left="426" w:right="284"/>
        <w:jc w:val="both"/>
        <w:rPr>
          <w:rFonts w:ascii="Arial" w:eastAsia="Calibri" w:hAnsi="Arial" w:cs="Arial"/>
          <w:lang w:eastAsia="en-US"/>
        </w:rPr>
      </w:pPr>
      <w:r w:rsidRPr="00E07E26">
        <w:rPr>
          <w:rFonts w:ascii="Arial" w:eastAsia="Calibri" w:hAnsi="Arial" w:cs="Arial"/>
          <w:lang w:eastAsia="en-US"/>
        </w:rPr>
        <w:t>El efecto de un medicamento puede modificarse por su administración junto con otros (In</w:t>
      </w:r>
      <w:r w:rsidR="00F15946">
        <w:rPr>
          <w:rFonts w:ascii="Arial" w:eastAsia="Calibri" w:hAnsi="Arial" w:cs="Arial"/>
          <w:lang w:eastAsia="en-US"/>
        </w:rPr>
        <w:t>teracciones). Ud. debe informar</w:t>
      </w:r>
      <w:r w:rsidRPr="00E07E26">
        <w:rPr>
          <w:rFonts w:ascii="Arial" w:eastAsia="Calibri" w:hAnsi="Arial" w:cs="Arial"/>
          <w:lang w:eastAsia="en-US"/>
        </w:rPr>
        <w:t xml:space="preserve"> a su médico </w:t>
      </w:r>
      <w:r w:rsidR="00F15946">
        <w:rPr>
          <w:rFonts w:ascii="Arial" w:eastAsia="Calibri" w:hAnsi="Arial" w:cs="Arial"/>
          <w:lang w:eastAsia="en-US"/>
        </w:rPr>
        <w:t>si está tomando otros medicamentos</w:t>
      </w:r>
      <w:r w:rsidRPr="00E07E26">
        <w:rPr>
          <w:rFonts w:ascii="Arial" w:eastAsia="Calibri" w:hAnsi="Arial" w:cs="Arial"/>
          <w:lang w:eastAsia="en-US"/>
        </w:rPr>
        <w:t xml:space="preserve">, </w:t>
      </w:r>
      <w:r w:rsidR="00F15946">
        <w:rPr>
          <w:rFonts w:ascii="Arial" w:eastAsia="Calibri" w:hAnsi="Arial" w:cs="Arial"/>
          <w:lang w:eastAsia="en-US"/>
        </w:rPr>
        <w:t xml:space="preserve">especialmente si se trata de antibióticos hipoglicemiantes, anticoagulantes, etc. </w:t>
      </w:r>
    </w:p>
    <w:p w14:paraId="13F92A80" w14:textId="70525B89" w:rsidR="00272643" w:rsidRDefault="00E07E26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>
        <w:rPr>
          <w:b/>
          <w:sz w:val="22"/>
        </w:rPr>
        <w:t>EFECTOS ADVERSOS:</w:t>
      </w:r>
    </w:p>
    <w:p w14:paraId="101418E6" w14:textId="463C4B3D" w:rsidR="00272643" w:rsidRDefault="00FE1154" w:rsidP="004A23F4">
      <w:pPr>
        <w:ind w:left="426" w:right="312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Los medicamentos pueden producir algunos efectos no deseados además de los que se pretende obtener.</w:t>
      </w:r>
    </w:p>
    <w:p w14:paraId="121F2B05" w14:textId="7B124EC6" w:rsidR="00FE1154" w:rsidRDefault="00FE1154" w:rsidP="004A23F4">
      <w:pPr>
        <w:ind w:left="426" w:right="312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Si aparece cualquiera de los síntomas siguientes deje de tomar el medicamento y consulte al médico: hormigueo o sensación de insensibilidad de las </w:t>
      </w:r>
      <w:r w:rsidR="008A2E41">
        <w:rPr>
          <w:rFonts w:ascii="Arial" w:eastAsia="Calibri" w:hAnsi="Arial" w:cs="Arial"/>
          <w:lang w:eastAsia="en-US"/>
        </w:rPr>
        <w:t>extremidades, problemas</w:t>
      </w:r>
      <w:r>
        <w:rPr>
          <w:rFonts w:ascii="Arial" w:eastAsia="Calibri" w:hAnsi="Arial" w:cs="Arial"/>
          <w:lang w:eastAsia="en-US"/>
        </w:rPr>
        <w:t xml:space="preserve"> </w:t>
      </w:r>
      <w:proofErr w:type="gramStart"/>
      <w:r>
        <w:rPr>
          <w:rFonts w:ascii="Arial" w:eastAsia="Calibri" w:hAnsi="Arial" w:cs="Arial"/>
          <w:lang w:eastAsia="en-US"/>
        </w:rPr>
        <w:t>respiratorios ,</w:t>
      </w:r>
      <w:proofErr w:type="gramEnd"/>
      <w:r>
        <w:rPr>
          <w:rFonts w:ascii="Arial" w:eastAsia="Calibri" w:hAnsi="Arial" w:cs="Arial"/>
          <w:lang w:eastAsia="en-US"/>
        </w:rPr>
        <w:t xml:space="preserve"> dolor de pecho, escalofríos, vómitos, manchas, cambio de color  prurito u otros problemas en la piel, ojos amarillos.</w:t>
      </w:r>
    </w:p>
    <w:p w14:paraId="1F0EA5E0" w14:textId="0FFE5540" w:rsidR="004A23F4" w:rsidRDefault="004A23F4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br w:type="page"/>
      </w:r>
    </w:p>
    <w:p w14:paraId="2B1927AE" w14:textId="77777777" w:rsidR="004A23F4" w:rsidRPr="00E07E26" w:rsidRDefault="004A23F4" w:rsidP="004A23F4">
      <w:pPr>
        <w:ind w:left="426"/>
        <w:jc w:val="both"/>
        <w:rPr>
          <w:rFonts w:ascii="Arial" w:eastAsia="Calibri" w:hAnsi="Arial" w:cs="Arial"/>
          <w:lang w:eastAsia="en-US"/>
        </w:rPr>
      </w:pPr>
    </w:p>
    <w:p w14:paraId="6E0BD71D" w14:textId="06538F59" w:rsidR="00272643" w:rsidRPr="001754C4" w:rsidRDefault="001754C4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1754C4">
        <w:rPr>
          <w:b/>
          <w:sz w:val="22"/>
        </w:rPr>
        <w:t>DOSIS:</w:t>
      </w:r>
    </w:p>
    <w:p w14:paraId="5C299D30" w14:textId="4B013FBC" w:rsidR="00F20964" w:rsidRDefault="00FE1154" w:rsidP="009339FC">
      <w:pPr>
        <w:ind w:left="426" w:right="312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El medico debe indicar la posología y el tiempo de tratamiento apropiados a su caso </w:t>
      </w:r>
      <w:r w:rsidR="002A0F62">
        <w:rPr>
          <w:rFonts w:ascii="Arial" w:eastAsia="Calibri" w:hAnsi="Arial" w:cs="Arial"/>
          <w:lang w:eastAsia="en-US"/>
        </w:rPr>
        <w:t>particular. No</w:t>
      </w:r>
      <w:r>
        <w:rPr>
          <w:rFonts w:ascii="Arial" w:eastAsia="Calibri" w:hAnsi="Arial" w:cs="Arial"/>
          <w:lang w:eastAsia="en-US"/>
        </w:rPr>
        <w:t xml:space="preserve"> </w:t>
      </w:r>
      <w:r w:rsidR="00C564C0">
        <w:rPr>
          <w:rFonts w:ascii="Arial" w:eastAsia="Calibri" w:hAnsi="Arial" w:cs="Arial"/>
          <w:lang w:eastAsia="en-US"/>
        </w:rPr>
        <w:t>obstante,</w:t>
      </w:r>
      <w:r>
        <w:rPr>
          <w:rFonts w:ascii="Arial" w:eastAsia="Calibri" w:hAnsi="Arial" w:cs="Arial"/>
          <w:lang w:eastAsia="en-US"/>
        </w:rPr>
        <w:t xml:space="preserve"> la dosis usual recomendada en adultos es de </w:t>
      </w:r>
      <w:r w:rsidR="00A91B91">
        <w:rPr>
          <w:rFonts w:ascii="Arial" w:eastAsia="Calibri" w:hAnsi="Arial" w:cs="Arial"/>
          <w:lang w:eastAsia="en-US"/>
        </w:rPr>
        <w:t>50-100 mg cuatro veces al día</w:t>
      </w:r>
      <w:r w:rsidR="00F20964">
        <w:rPr>
          <w:rFonts w:ascii="Arial" w:eastAsia="Calibri" w:hAnsi="Arial" w:cs="Arial"/>
          <w:lang w:eastAsia="en-US"/>
        </w:rPr>
        <w:t>.</w:t>
      </w:r>
    </w:p>
    <w:p w14:paraId="14E095DB" w14:textId="2D1E1973" w:rsidR="00F20964" w:rsidRDefault="00F20964" w:rsidP="009339FC">
      <w:pPr>
        <w:ind w:left="426" w:right="312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Niños mayores de 1 año:5-7mg/kg de peso 4 veces al </w:t>
      </w:r>
      <w:r w:rsidR="002A0F62">
        <w:rPr>
          <w:rFonts w:ascii="Arial" w:eastAsia="Calibri" w:hAnsi="Arial" w:cs="Arial"/>
          <w:lang w:eastAsia="en-US"/>
        </w:rPr>
        <w:t>día</w:t>
      </w:r>
      <w:r>
        <w:rPr>
          <w:rFonts w:ascii="Arial" w:eastAsia="Calibri" w:hAnsi="Arial" w:cs="Arial"/>
          <w:lang w:eastAsia="en-US"/>
        </w:rPr>
        <w:t>.</w:t>
      </w:r>
    </w:p>
    <w:p w14:paraId="406BAC43" w14:textId="77777777" w:rsidR="006331C3" w:rsidRDefault="00F20964" w:rsidP="009339FC">
      <w:pPr>
        <w:ind w:left="426" w:right="312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El tratamiento debe durar al menos 1 semana.</w:t>
      </w:r>
    </w:p>
    <w:p w14:paraId="7DBC5250" w14:textId="71137D21" w:rsidR="006331C3" w:rsidRDefault="006331C3" w:rsidP="006331C3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>
        <w:rPr>
          <w:b/>
          <w:sz w:val="22"/>
        </w:rPr>
        <w:t xml:space="preserve">OLVIDO DE UNA </w:t>
      </w:r>
      <w:r w:rsidRPr="001754C4">
        <w:rPr>
          <w:b/>
          <w:sz w:val="22"/>
        </w:rPr>
        <w:t>DOSIS:</w:t>
      </w:r>
    </w:p>
    <w:p w14:paraId="13B44889" w14:textId="5FFBD9A7" w:rsidR="006331C3" w:rsidRPr="006331C3" w:rsidRDefault="006331C3" w:rsidP="006331C3">
      <w:pPr>
        <w:pStyle w:val="Textoindependiente"/>
        <w:spacing w:before="200" w:after="120"/>
        <w:ind w:left="426" w:right="284"/>
        <w:jc w:val="both"/>
        <w:outlineLvl w:val="0"/>
      </w:pPr>
      <w:r>
        <w:t xml:space="preserve">Ud. </w:t>
      </w:r>
      <w:r w:rsidRPr="006331C3">
        <w:t xml:space="preserve">debe tomar su medicamento cuanto antes, excepto si está próximo a la otra </w:t>
      </w:r>
      <w:r w:rsidR="00C564C0" w:rsidRPr="006331C3">
        <w:t>dosis, en</w:t>
      </w:r>
      <w:bookmarkStart w:id="0" w:name="_GoBack"/>
      <w:bookmarkEnd w:id="0"/>
      <w:r w:rsidRPr="006331C3">
        <w:t xml:space="preserve"> tal caso solo debe volver al esquema indicado,</w:t>
      </w:r>
      <w:r>
        <w:t xml:space="preserve"> </w:t>
      </w:r>
      <w:r w:rsidRPr="006331C3">
        <w:t>sin</w:t>
      </w:r>
      <w:r>
        <w:t xml:space="preserve"> </w:t>
      </w:r>
      <w:r w:rsidRPr="006331C3">
        <w:t xml:space="preserve">doblar la dosis. </w:t>
      </w:r>
    </w:p>
    <w:p w14:paraId="43B40672" w14:textId="23DF166A" w:rsidR="002D0DEF" w:rsidRPr="009339FC" w:rsidRDefault="00A91B91" w:rsidP="009339FC">
      <w:pPr>
        <w:ind w:left="426" w:right="312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</w:t>
      </w:r>
    </w:p>
    <w:sectPr w:rsidR="002D0DEF" w:rsidRPr="009339FC" w:rsidSect="0013049B">
      <w:headerReference w:type="default" r:id="rId8"/>
      <w:footerReference w:type="even" r:id="rId9"/>
      <w:footerReference w:type="default" r:id="rId10"/>
      <w:type w:val="continuous"/>
      <w:pgSz w:w="12242" w:h="15842" w:code="1"/>
      <w:pgMar w:top="720" w:right="720" w:bottom="720" w:left="720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24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B0DD6" w14:textId="77777777" w:rsidR="00DD5C9D" w:rsidRDefault="00DD5C9D" w:rsidP="00810E85">
      <w:r>
        <w:separator/>
      </w:r>
    </w:p>
  </w:endnote>
  <w:endnote w:type="continuationSeparator" w:id="0">
    <w:p w14:paraId="382AA2ED" w14:textId="77777777" w:rsidR="00DD5C9D" w:rsidRDefault="00DD5C9D" w:rsidP="0081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5E127" w14:textId="77777777" w:rsidR="002B3750" w:rsidRDefault="002B3750" w:rsidP="005D2577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1AB5EC0" w14:textId="77777777" w:rsidR="002B3750" w:rsidRDefault="002B3750" w:rsidP="002B375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16D2D" w14:textId="77777777" w:rsidR="002B3750" w:rsidRDefault="002B3750" w:rsidP="0013049B">
    <w:pPr>
      <w:pStyle w:val="Piedepgina"/>
      <w:framePr w:wrap="none" w:vAnchor="text" w:hAnchor="page" w:x="11102" w:y="186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C0826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 xml:space="preserve"> de 2</w:t>
    </w:r>
  </w:p>
  <w:p w14:paraId="183611A5" w14:textId="77777777" w:rsidR="002B3750" w:rsidRDefault="002B3750" w:rsidP="0013049B">
    <w:pPr>
      <w:pStyle w:val="Piedepgina"/>
      <w:framePr w:h="1300" w:hRule="exact" w:wrap="auto" w:hAnchor="text" w:y="-350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A4C1C" w14:textId="77777777" w:rsidR="00DD5C9D" w:rsidRDefault="00DD5C9D" w:rsidP="00810E85">
      <w:r>
        <w:separator/>
      </w:r>
    </w:p>
  </w:footnote>
  <w:footnote w:type="continuationSeparator" w:id="0">
    <w:p w14:paraId="365EA9FE" w14:textId="77777777" w:rsidR="00DD5C9D" w:rsidRDefault="00DD5C9D" w:rsidP="00810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2"/>
      <w:gridCol w:w="8452"/>
    </w:tblGrid>
    <w:tr w:rsidR="002B3750" w14:paraId="5A1FCC43" w14:textId="77777777" w:rsidTr="0013049B">
      <w:trPr>
        <w:trHeight w:val="1500"/>
        <w:jc w:val="center"/>
      </w:trPr>
      <w:tc>
        <w:tcPr>
          <w:tcW w:w="1662" w:type="dxa"/>
          <w:vAlign w:val="center"/>
        </w:tcPr>
        <w:p w14:paraId="1991D04E" w14:textId="7F8386CE" w:rsidR="002B3750" w:rsidRDefault="002B3750" w:rsidP="005E4B2C">
          <w:pPr>
            <w:pStyle w:val="Textoindependiente"/>
            <w:outlineLvl w:val="0"/>
            <w:rPr>
              <w:sz w:val="32"/>
              <w:lang w:val="es-MX"/>
            </w:rPr>
          </w:pPr>
          <w:r>
            <w:rPr>
              <w:noProof/>
              <w:lang w:val="es-ES_tradnl" w:eastAsia="es-ES_tradnl"/>
            </w:rPr>
            <w:drawing>
              <wp:inline distT="0" distB="0" distL="0" distR="0" wp14:anchorId="442A9C40" wp14:editId="31B9197E">
                <wp:extent cx="838800" cy="846000"/>
                <wp:effectExtent l="0" t="0" r="0" b="0"/>
                <wp:docPr id="9" name="Imagen 1" descr="LOGOTIPO MINTLAB 2010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 MINTLAB 2010 BA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800" cy="84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52" w:type="dxa"/>
          <w:vAlign w:val="center"/>
        </w:tcPr>
        <w:p w14:paraId="7FC59631" w14:textId="02EFA930" w:rsidR="002B3750" w:rsidRPr="00E46369" w:rsidRDefault="00E46369" w:rsidP="005E4B2C">
          <w:pPr>
            <w:pStyle w:val="Textoindependiente"/>
            <w:outlineLvl w:val="0"/>
            <w:rPr>
              <w:sz w:val="28"/>
              <w:szCs w:val="28"/>
              <w:lang w:val="es-MX"/>
            </w:rPr>
          </w:pPr>
          <w:r w:rsidRPr="00E46369">
            <w:rPr>
              <w:sz w:val="28"/>
              <w:szCs w:val="28"/>
              <w:lang w:val="es-MX"/>
            </w:rPr>
            <w:t>NITROFURANTOINA MACROCRISTALES CAPSULAS 10</w:t>
          </w:r>
          <w:r>
            <w:rPr>
              <w:sz w:val="28"/>
              <w:szCs w:val="28"/>
              <w:lang w:val="es-MX"/>
            </w:rPr>
            <w:t xml:space="preserve">0 </w:t>
          </w:r>
          <w:r w:rsidRPr="00E46369">
            <w:rPr>
              <w:sz w:val="28"/>
              <w:szCs w:val="28"/>
              <w:lang w:val="es-MX"/>
            </w:rPr>
            <w:t>MG</w:t>
          </w:r>
        </w:p>
      </w:tc>
    </w:tr>
  </w:tbl>
  <w:p w14:paraId="10EC06ED" w14:textId="77777777" w:rsidR="002B3750" w:rsidRPr="002B3750" w:rsidRDefault="002B3750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35733"/>
    <w:multiLevelType w:val="hybridMultilevel"/>
    <w:tmpl w:val="265C04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80636"/>
    <w:multiLevelType w:val="hybridMultilevel"/>
    <w:tmpl w:val="C9FC3F08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D1864C7"/>
    <w:multiLevelType w:val="singleLevel"/>
    <w:tmpl w:val="E5D25B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E5A148F"/>
    <w:multiLevelType w:val="singleLevel"/>
    <w:tmpl w:val="A78C31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</w:rPr>
    </w:lvl>
  </w:abstractNum>
  <w:abstractNum w:abstractNumId="4" w15:restartNumberingAfterBreak="0">
    <w:nsid w:val="221C399D"/>
    <w:multiLevelType w:val="singleLevel"/>
    <w:tmpl w:val="EE76BF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6250099"/>
    <w:multiLevelType w:val="hybridMultilevel"/>
    <w:tmpl w:val="40509E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F208B"/>
    <w:multiLevelType w:val="singleLevel"/>
    <w:tmpl w:val="6E2C161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0DF14EC"/>
    <w:multiLevelType w:val="hybridMultilevel"/>
    <w:tmpl w:val="C4CA13CE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9E66DB8"/>
    <w:multiLevelType w:val="hybridMultilevel"/>
    <w:tmpl w:val="42286A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03D77"/>
    <w:multiLevelType w:val="hybridMultilevel"/>
    <w:tmpl w:val="991679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A4AE4"/>
    <w:multiLevelType w:val="hybridMultilevel"/>
    <w:tmpl w:val="879CDA3C"/>
    <w:lvl w:ilvl="0" w:tplc="0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7D8040A"/>
    <w:multiLevelType w:val="singleLevel"/>
    <w:tmpl w:val="4AD8CF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B0D171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D2E5536"/>
    <w:multiLevelType w:val="singleLevel"/>
    <w:tmpl w:val="5D4CC25E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2D659B5"/>
    <w:multiLevelType w:val="singleLevel"/>
    <w:tmpl w:val="70F00C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457002A"/>
    <w:multiLevelType w:val="singleLevel"/>
    <w:tmpl w:val="E6FC0E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6EF0CF8"/>
    <w:multiLevelType w:val="hybridMultilevel"/>
    <w:tmpl w:val="91E4778E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4"/>
  </w:num>
  <w:num w:numId="4">
    <w:abstractNumId w:val="3"/>
  </w:num>
  <w:num w:numId="5">
    <w:abstractNumId w:val="12"/>
  </w:num>
  <w:num w:numId="6">
    <w:abstractNumId w:val="13"/>
  </w:num>
  <w:num w:numId="7">
    <w:abstractNumId w:val="2"/>
  </w:num>
  <w:num w:numId="8">
    <w:abstractNumId w:val="15"/>
  </w:num>
  <w:num w:numId="9">
    <w:abstractNumId w:val="6"/>
  </w:num>
  <w:num w:numId="10">
    <w:abstractNumId w:val="9"/>
  </w:num>
  <w:num w:numId="11">
    <w:abstractNumId w:val="8"/>
  </w:num>
  <w:num w:numId="12">
    <w:abstractNumId w:val="0"/>
  </w:num>
  <w:num w:numId="13">
    <w:abstractNumId w:val="10"/>
  </w:num>
  <w:num w:numId="14">
    <w:abstractNumId w:val="5"/>
  </w:num>
  <w:num w:numId="15">
    <w:abstractNumId w:val="1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21D"/>
    <w:rsid w:val="00096EE1"/>
    <w:rsid w:val="000D4680"/>
    <w:rsid w:val="0013049B"/>
    <w:rsid w:val="001559F4"/>
    <w:rsid w:val="00163224"/>
    <w:rsid w:val="00174419"/>
    <w:rsid w:val="001754C4"/>
    <w:rsid w:val="001763CC"/>
    <w:rsid w:val="00193002"/>
    <w:rsid w:val="001E20CE"/>
    <w:rsid w:val="00211084"/>
    <w:rsid w:val="00220D29"/>
    <w:rsid w:val="00272643"/>
    <w:rsid w:val="002A0F62"/>
    <w:rsid w:val="002B3750"/>
    <w:rsid w:val="002D0DEF"/>
    <w:rsid w:val="002F6A45"/>
    <w:rsid w:val="00305826"/>
    <w:rsid w:val="00311AC8"/>
    <w:rsid w:val="00315A7E"/>
    <w:rsid w:val="0032003A"/>
    <w:rsid w:val="00346F8F"/>
    <w:rsid w:val="00383C37"/>
    <w:rsid w:val="00445156"/>
    <w:rsid w:val="004A23F4"/>
    <w:rsid w:val="0050693C"/>
    <w:rsid w:val="00555EC9"/>
    <w:rsid w:val="00623A1A"/>
    <w:rsid w:val="006331C3"/>
    <w:rsid w:val="00661429"/>
    <w:rsid w:val="0068721D"/>
    <w:rsid w:val="006C67E3"/>
    <w:rsid w:val="006D2F7B"/>
    <w:rsid w:val="00724B6E"/>
    <w:rsid w:val="007514A8"/>
    <w:rsid w:val="00762B3E"/>
    <w:rsid w:val="007909D7"/>
    <w:rsid w:val="007E6F2C"/>
    <w:rsid w:val="00810E85"/>
    <w:rsid w:val="00825689"/>
    <w:rsid w:val="00864EE4"/>
    <w:rsid w:val="00867581"/>
    <w:rsid w:val="008A2E41"/>
    <w:rsid w:val="008B2795"/>
    <w:rsid w:val="009339FC"/>
    <w:rsid w:val="009C7C16"/>
    <w:rsid w:val="009E4FC5"/>
    <w:rsid w:val="00A2581B"/>
    <w:rsid w:val="00A41C27"/>
    <w:rsid w:val="00A62AEE"/>
    <w:rsid w:val="00A91B91"/>
    <w:rsid w:val="00AC0826"/>
    <w:rsid w:val="00B464F3"/>
    <w:rsid w:val="00B5130D"/>
    <w:rsid w:val="00BD4206"/>
    <w:rsid w:val="00C564C0"/>
    <w:rsid w:val="00C66440"/>
    <w:rsid w:val="00C72A7B"/>
    <w:rsid w:val="00CA6C60"/>
    <w:rsid w:val="00D36B40"/>
    <w:rsid w:val="00DB798B"/>
    <w:rsid w:val="00DD5C9D"/>
    <w:rsid w:val="00DE4E65"/>
    <w:rsid w:val="00E07E26"/>
    <w:rsid w:val="00E34F77"/>
    <w:rsid w:val="00E422DC"/>
    <w:rsid w:val="00E46369"/>
    <w:rsid w:val="00E66673"/>
    <w:rsid w:val="00E841BC"/>
    <w:rsid w:val="00ED1B89"/>
    <w:rsid w:val="00F0306E"/>
    <w:rsid w:val="00F15946"/>
    <w:rsid w:val="00F20964"/>
    <w:rsid w:val="00F31BE3"/>
    <w:rsid w:val="00F56C22"/>
    <w:rsid w:val="00FE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1DB04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16"/>
    </w:rPr>
  </w:style>
  <w:style w:type="paragraph" w:styleId="Ttulo4">
    <w:name w:val="heading 4"/>
    <w:basedOn w:val="Normal"/>
    <w:next w:val="Normal"/>
    <w:qFormat/>
    <w:pPr>
      <w:keepNext/>
      <w:ind w:left="709"/>
      <w:jc w:val="both"/>
      <w:outlineLvl w:val="3"/>
    </w:pPr>
    <w:rPr>
      <w:b/>
      <w:sz w:val="24"/>
      <w:lang w:val="es-ES_tradnl"/>
    </w:rPr>
  </w:style>
  <w:style w:type="paragraph" w:styleId="Ttulo5">
    <w:name w:val="heading 5"/>
    <w:basedOn w:val="Normal"/>
    <w:next w:val="Normal"/>
    <w:qFormat/>
    <w:pPr>
      <w:keepNext/>
      <w:ind w:left="709"/>
      <w:outlineLvl w:val="4"/>
    </w:pPr>
    <w:rPr>
      <w:b/>
      <w:sz w:val="24"/>
      <w:lang w:val="es-ES_tradnl"/>
    </w:rPr>
  </w:style>
  <w:style w:type="paragraph" w:styleId="Ttulo6">
    <w:name w:val="heading 6"/>
    <w:basedOn w:val="Normal"/>
    <w:next w:val="Normal"/>
    <w:qFormat/>
    <w:pPr>
      <w:keepNext/>
      <w:ind w:left="709"/>
      <w:outlineLvl w:val="5"/>
    </w:pPr>
    <w:rPr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4"/>
      <w:lang w:val="es-ES_tradnl"/>
    </w:rPr>
  </w:style>
  <w:style w:type="paragraph" w:styleId="Textoindependiente">
    <w:name w:val="Body Text"/>
    <w:basedOn w:val="Normal"/>
    <w:pPr>
      <w:jc w:val="center"/>
    </w:pPr>
    <w:rPr>
      <w:rFonts w:ascii="Arial" w:hAnsi="Arial"/>
    </w:rPr>
  </w:style>
  <w:style w:type="paragraph" w:styleId="Textoindependiente2">
    <w:name w:val="Body Text 2"/>
    <w:basedOn w:val="Normal"/>
    <w:pPr>
      <w:jc w:val="both"/>
    </w:pPr>
    <w:rPr>
      <w:rFonts w:ascii="Arial" w:hAnsi="Arial"/>
    </w:rPr>
  </w:style>
  <w:style w:type="paragraph" w:styleId="Textoindependiente3">
    <w:name w:val="Body Text 3"/>
    <w:basedOn w:val="Normal"/>
    <w:pPr>
      <w:jc w:val="both"/>
    </w:pPr>
    <w:rPr>
      <w:rFonts w:ascii="Arial" w:hAnsi="Arial"/>
      <w:sz w:val="18"/>
    </w:rPr>
  </w:style>
  <w:style w:type="paragraph" w:styleId="Sangradetextonormal">
    <w:name w:val="Body Text Indent"/>
    <w:basedOn w:val="Normal"/>
    <w:pPr>
      <w:tabs>
        <w:tab w:val="left" w:pos="142"/>
      </w:tabs>
      <w:ind w:left="142" w:hanging="142"/>
      <w:jc w:val="both"/>
    </w:pPr>
    <w:rPr>
      <w:rFonts w:ascii="Arial" w:hAnsi="Arial"/>
      <w:sz w:val="16"/>
    </w:rPr>
  </w:style>
  <w:style w:type="paragraph" w:styleId="Sangra2detindependiente">
    <w:name w:val="Body Text Indent 2"/>
    <w:basedOn w:val="Normal"/>
    <w:pPr>
      <w:keepNext/>
      <w:ind w:left="709"/>
      <w:jc w:val="both"/>
    </w:pPr>
    <w:rPr>
      <w:color w:val="FF0000"/>
      <w:sz w:val="24"/>
      <w:lang w:val="es-ES_tradnl"/>
    </w:rPr>
  </w:style>
  <w:style w:type="paragraph" w:styleId="Subttulo">
    <w:name w:val="Subtitle"/>
    <w:basedOn w:val="Normal"/>
    <w:qFormat/>
    <w:pPr>
      <w:ind w:left="709"/>
      <w:jc w:val="center"/>
    </w:pPr>
    <w:rPr>
      <w:rFonts w:ascii="Arial Narrow" w:hAnsi="Arial Narrow"/>
      <w:b/>
      <w:w w:val="135"/>
      <w:sz w:val="24"/>
    </w:rPr>
  </w:style>
  <w:style w:type="paragraph" w:styleId="Prrafodelista">
    <w:name w:val="List Paragraph"/>
    <w:basedOn w:val="Normal"/>
    <w:uiPriority w:val="34"/>
    <w:qFormat/>
    <w:rsid w:val="00175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L" w:eastAsia="en-US"/>
    </w:rPr>
  </w:style>
  <w:style w:type="paragraph" w:styleId="Encabezado">
    <w:name w:val="header"/>
    <w:basedOn w:val="Normal"/>
    <w:link w:val="EncabezadoCar"/>
    <w:rsid w:val="00810E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810E85"/>
    <w:rPr>
      <w:lang w:val="es-ES" w:eastAsia="es-ES"/>
    </w:rPr>
  </w:style>
  <w:style w:type="paragraph" w:styleId="Piedepgina">
    <w:name w:val="footer"/>
    <w:basedOn w:val="Normal"/>
    <w:link w:val="PiedepginaCar"/>
    <w:rsid w:val="00810E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810E85"/>
    <w:rPr>
      <w:lang w:val="es-ES" w:eastAsia="es-ES"/>
    </w:rPr>
  </w:style>
  <w:style w:type="table" w:styleId="Tablaconcuadrcula">
    <w:name w:val="Table Grid"/>
    <w:basedOn w:val="Tablanormal"/>
    <w:rsid w:val="008B2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2B3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C9F62-6ACC-4D7E-BAEB-B402896E3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361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FOLLETO DE INFORMACION AL PACIENTE</vt:lpstr>
    </vt:vector>
  </TitlesOfParts>
  <Company>Mintlab Co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FOLLETO DE INFORMACION AL PACIENTE</dc:title>
  <dc:subject/>
  <dc:creator>Mintlab</dc:creator>
  <cp:keywords/>
  <cp:lastModifiedBy>Mariangeli Castellano Suárez</cp:lastModifiedBy>
  <cp:revision>30</cp:revision>
  <cp:lastPrinted>2017-12-26T03:32:00Z</cp:lastPrinted>
  <dcterms:created xsi:type="dcterms:W3CDTF">2018-08-28T18:38:00Z</dcterms:created>
  <dcterms:modified xsi:type="dcterms:W3CDTF">2018-10-11T21:58:00Z</dcterms:modified>
</cp:coreProperties>
</file>