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386F968F" w14:textId="77777777" w:rsid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Cada comprimido recubierto contiene: Sertralina (como clorhidrato) 50 mg.</w:t>
            </w:r>
          </w:p>
          <w:p w14:paraId="22D5329E" w14:textId="2BEFB24F" w:rsidR="00BD4206" w:rsidRP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Lactosa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, Almidón de Maíz, Lauril Sulfato de Sodio,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Behenato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Glicerilo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, Dióxido de Silicio Coloidal, Estearato de Magnesio, Celulosa Microcristalina, Alcohol Polivinílico Parcialmente Hidrolizado, Dióxido de Titanio,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Macrogol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3000, Talco Venecia.</w:t>
            </w:r>
          </w:p>
          <w:p w14:paraId="70719F4C" w14:textId="77777777" w:rsid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1CBAED3A" w:rsidR="00BD4206" w:rsidRPr="00860B1F" w:rsidRDefault="00860B1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860B1F">
              <w:rPr>
                <w:rFonts w:cs="Arial"/>
                <w:color w:val="000000"/>
                <w:shd w:val="clear" w:color="auto" w:fill="FFFFFF"/>
              </w:rPr>
              <w:t>Agente antidepresivo.</w:t>
            </w:r>
            <w:r w:rsidR="00211084" w:rsidRPr="00860B1F">
              <w:rPr>
                <w:rFonts w:cs="Arial"/>
                <w:b/>
              </w:rPr>
              <w:t xml:space="preserve"> 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3327C864" w14:textId="77777777" w:rsidR="00860B1F" w:rsidRPr="00860B1F" w:rsidRDefault="00860B1F" w:rsidP="004A23F4">
      <w:pPr>
        <w:spacing w:before="200" w:after="200"/>
        <w:ind w:left="426" w:right="284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860B1F">
        <w:rPr>
          <w:rFonts w:ascii="Arial" w:hAnsi="Arial" w:cs="Arial"/>
          <w:color w:val="000000"/>
          <w:shd w:val="clear" w:color="auto" w:fill="FFFFFF"/>
        </w:rPr>
        <w:t>Está indicado para el tratamiento de la depresión mayor, desórdenes obsesivo-compulsivos y crisis de pánico.</w:t>
      </w:r>
    </w:p>
    <w:p w14:paraId="6A3EBE88" w14:textId="6F33D964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2F301D72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>El paciente debe notificar a su médico si está tomando medicamentos de venta libre o preparaciones que contengan alcohol.</w:t>
      </w:r>
    </w:p>
    <w:p w14:paraId="1883EB1C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 Los pacientes que operan maquinarias o manejan vehículos deben suspender tales actividades mientras estén en tratamiento. </w:t>
      </w:r>
    </w:p>
    <w:p w14:paraId="6FA094B3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El uso de Sertralina puede producir sangramiento anormal o púrpura (enfermedad del tejido conjuntivo). </w:t>
      </w:r>
    </w:p>
    <w:p w14:paraId="0090A040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Si se presenta hiponatremia, suspender la droga. </w:t>
      </w:r>
    </w:p>
    <w:p w14:paraId="590DB1B1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Se debe esperar al menos 2 semanas de terminado el tratamiento con Sertralina, antes de iniciar terapia con inhibidores MAO. </w:t>
      </w:r>
    </w:p>
    <w:p w14:paraId="670A2FE1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>Debe administrarse con precaución en pacientes con cuadros convulsivos.</w:t>
      </w:r>
    </w:p>
    <w:p w14:paraId="36771D0B" w14:textId="312ABEDA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FE86EF0" w14:textId="4E9F3F9E" w:rsidR="00A6305E" w:rsidRPr="00A6305E" w:rsidRDefault="00A6305E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  <w:b/>
        </w:rPr>
      </w:pPr>
      <w:r w:rsidRPr="00AC786C">
        <w:rPr>
          <w:rFonts w:cs="Arial"/>
          <w:bCs/>
          <w:color w:val="000000"/>
          <w:shd w:val="clear" w:color="auto" w:fill="FFFFFF"/>
        </w:rPr>
        <w:t>No usar en:</w:t>
      </w:r>
      <w:r w:rsidRPr="00AC786C">
        <w:rPr>
          <w:rFonts w:cs="Arial"/>
          <w:color w:val="000000"/>
          <w:shd w:val="clear" w:color="auto" w:fill="FFFFFF"/>
        </w:rPr>
        <w:t xml:space="preserve"> Pacientes que presenten </w:t>
      </w:r>
      <w:proofErr w:type="spellStart"/>
      <w:r w:rsidRPr="00AC786C">
        <w:rPr>
          <w:rFonts w:cs="Arial"/>
          <w:color w:val="000000"/>
          <w:shd w:val="clear" w:color="auto" w:fill="FFFFFF"/>
        </w:rPr>
        <w:t>hipersensilidad</w:t>
      </w:r>
      <w:proofErr w:type="spellEnd"/>
      <w:r w:rsidRPr="00AC786C">
        <w:rPr>
          <w:rFonts w:cs="Arial"/>
          <w:color w:val="000000"/>
          <w:shd w:val="clear" w:color="auto" w:fill="FFFFFF"/>
        </w:rPr>
        <w:t xml:space="preserve"> a antidepresivos IMAO. Pacientes que han recibido terapia (2 semanas) con inhibidores </w:t>
      </w:r>
      <w:r w:rsidR="005672AD" w:rsidRPr="00AC786C">
        <w:rPr>
          <w:rFonts w:cs="Arial"/>
          <w:color w:val="000000"/>
          <w:shd w:val="clear" w:color="auto" w:fill="FFFFFF"/>
        </w:rPr>
        <w:t>de</w:t>
      </w:r>
      <w:r w:rsidR="00AC786C">
        <w:rPr>
          <w:rFonts w:cs="Arial"/>
          <w:color w:val="000000"/>
          <w:shd w:val="clear" w:color="auto" w:fill="FFFFFF"/>
        </w:rPr>
        <w:t xml:space="preserve"> </w:t>
      </w:r>
      <w:r w:rsidR="005672AD" w:rsidRPr="00AC786C">
        <w:rPr>
          <w:rFonts w:cs="Arial"/>
          <w:color w:val="000000"/>
          <w:shd w:val="clear" w:color="auto" w:fill="FFFFFF"/>
        </w:rPr>
        <w:t>la mono</w:t>
      </w:r>
      <w:r w:rsidRPr="00AC786C">
        <w:rPr>
          <w:rFonts w:cs="Arial"/>
          <w:color w:val="000000"/>
          <w:shd w:val="clear" w:color="auto" w:fill="FFFFFF"/>
        </w:rPr>
        <w:t xml:space="preserve"> amino oxidasa. Pacientes con depresión con tendencia de suicidio. Pacientes con enfermedad sistémica o alteraciones en la función hemodinámica. Pacientes con insuficiencia renal o hepática. Pacientes con anorexia o problemas de peso</w:t>
      </w:r>
      <w:r>
        <w:rPr>
          <w:rFonts w:cs="Arial"/>
          <w:color w:val="000000"/>
          <w:shd w:val="clear" w:color="auto" w:fill="FFFFFF"/>
        </w:rPr>
        <w:t>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6933C4E0" w14:textId="77777777" w:rsidR="00A90DE0" w:rsidRDefault="00A90DE0" w:rsidP="00E34F77">
      <w:pPr>
        <w:pStyle w:val="Textoindependiente"/>
        <w:spacing w:before="200" w:after="120"/>
        <w:ind w:left="426" w:right="284"/>
        <w:jc w:val="both"/>
        <w:outlineLvl w:val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A90DE0">
        <w:rPr>
          <w:rFonts w:cs="Arial"/>
          <w:bCs/>
          <w:color w:val="000000"/>
          <w:shd w:val="clear" w:color="auto" w:fill="FFFFFF"/>
        </w:rPr>
        <w:t>Se han descrito interacciones con los siguientes medicamentos:</w:t>
      </w:r>
      <w:r w:rsidRPr="00A90DE0">
        <w:rPr>
          <w:rFonts w:cs="Arial"/>
          <w:color w:val="000000"/>
          <w:shd w:val="clear" w:color="auto" w:fill="FFFFFF"/>
        </w:rPr>
        <w:t xml:space="preserve"> inhibidores de la mono amino oxidasa (síndrome serotoninérgico, donde se incluyen ataques epilépticos, coagulación intravascular diseminada, falla respiratoria, hipertermia severa, y hasta muerte), </w:t>
      </w:r>
      <w:proofErr w:type="spellStart"/>
      <w:r w:rsidRPr="00A90DE0">
        <w:rPr>
          <w:rFonts w:cs="Arial"/>
          <w:color w:val="000000"/>
          <w:shd w:val="clear" w:color="auto" w:fill="FFFFFF"/>
        </w:rPr>
        <w:t>moclobemida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A90DE0">
        <w:rPr>
          <w:rFonts w:cs="Arial"/>
          <w:color w:val="000000"/>
          <w:shd w:val="clear" w:color="auto" w:fill="FFFFFF"/>
        </w:rPr>
        <w:t>selegilina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, isoniazida (síndrome serotoninérgico), </w:t>
      </w:r>
      <w:proofErr w:type="spellStart"/>
      <w:r w:rsidRPr="00A90DE0">
        <w:rPr>
          <w:rFonts w:cs="Arial"/>
          <w:color w:val="000000"/>
          <w:shd w:val="clear" w:color="auto" w:fill="FFFFFF"/>
        </w:rPr>
        <w:t>sumatriptan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 (aumento de los ataques de migraña), anticoagulantes (aumento del tiempo de protrombina), clozapina (aumento de sus concentraciones), digitálicos, litio, hipoglicemiantes, entre otros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74F0F920" w14:textId="77777777" w:rsidR="00631E9B" w:rsidRDefault="00631E9B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69296ABE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lastRenderedPageBreak/>
        <w:t>EFECTOS ADVERSOS:</w:t>
      </w:r>
    </w:p>
    <w:p w14:paraId="7EB2C003" w14:textId="5B92355D" w:rsidR="00A90DE0" w:rsidRPr="00631E9B" w:rsidRDefault="00A90DE0" w:rsidP="00631E9B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A90DE0">
        <w:rPr>
          <w:rFonts w:cs="Arial"/>
          <w:color w:val="000000"/>
          <w:shd w:val="clear" w:color="auto" w:fill="FFFFFF"/>
        </w:rPr>
        <w:t>El uso de este medicamento puede producir los siguientes efectos que normalmente no requieren de atención médica. Disminución del apetito o pérdida de peso, diarrea, mareos, cansancio, sequedad de la boca, dolor de cabeza, náuseas, calambres abdominales, debilidad, temblores, problemas al respirar. </w:t>
      </w:r>
    </w:p>
    <w:p w14:paraId="6E0BD71D" w14:textId="22FA7DA4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3B40672" w14:textId="7C78777C" w:rsidR="002D0DEF" w:rsidRPr="00697E33" w:rsidRDefault="00697E33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97E33">
        <w:rPr>
          <w:rFonts w:ascii="Arial" w:hAnsi="Arial" w:cs="Arial"/>
          <w:color w:val="000000"/>
          <w:shd w:val="clear" w:color="auto" w:fill="FFFFFF"/>
        </w:rPr>
        <w:t>El médico debe indicar la posología y el tiempo de tratamiento apropiados para su caso particular. No obstante, la dosis usual recomendada en adultos es de 50 a 100 mg 1 vez al día.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06DB829C" w:rsidR="002D0DEF" w:rsidRPr="00697E33" w:rsidRDefault="00697E33" w:rsidP="00697E33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97E33">
        <w:rPr>
          <w:rFonts w:ascii="Arial" w:hAnsi="Arial" w:cs="Arial"/>
          <w:color w:val="000000"/>
          <w:shd w:val="clear" w:color="auto" w:fill="FFFFFF"/>
        </w:rPr>
        <w:t xml:space="preserve">Los síntomas de sobredosis son ansiedad, somnolencia, náuseas, síndrome serotoninérgico, inusualmente taquicardia, pupilas dilatadas, vómitos. El tratamiento es de soporte, manteniendo al paciente estable y con oxigenación. No existe antídoto específico. La administración de carbón activo es más </w:t>
      </w:r>
      <w:r w:rsidR="00752540" w:rsidRPr="00697E33">
        <w:rPr>
          <w:rFonts w:ascii="Arial" w:hAnsi="Arial" w:cs="Arial"/>
          <w:color w:val="000000"/>
          <w:shd w:val="clear" w:color="auto" w:fill="FFFFFF"/>
        </w:rPr>
        <w:t>efectiv</w:t>
      </w:r>
      <w:r w:rsidR="00752540">
        <w:rPr>
          <w:rFonts w:ascii="Arial" w:hAnsi="Arial" w:cs="Arial"/>
          <w:color w:val="000000"/>
          <w:shd w:val="clear" w:color="auto" w:fill="FFFFFF"/>
        </w:rPr>
        <w:t xml:space="preserve">o </w:t>
      </w:r>
      <w:r w:rsidR="00752540" w:rsidRPr="00697E33">
        <w:rPr>
          <w:rFonts w:ascii="Arial" w:hAnsi="Arial" w:cs="Arial"/>
          <w:color w:val="000000"/>
          <w:shd w:val="clear" w:color="auto" w:fill="FFFFFF"/>
        </w:rPr>
        <w:t>que</w:t>
      </w:r>
      <w:bookmarkStart w:id="0" w:name="_GoBack"/>
      <w:bookmarkEnd w:id="0"/>
      <w:r w:rsidRPr="00697E33">
        <w:rPr>
          <w:rFonts w:ascii="Arial" w:hAnsi="Arial" w:cs="Arial"/>
          <w:color w:val="000000"/>
          <w:shd w:val="clear" w:color="auto" w:fill="FFFFFF"/>
        </w:rPr>
        <w:t xml:space="preserve"> el lavado gástrico. Conduzca al intoxicado a un centro de atención médico hospitalario.</w:t>
      </w:r>
    </w:p>
    <w:sectPr w:rsidR="002D0DEF" w:rsidRPr="00697E33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4B05" w14:textId="77777777" w:rsidR="00E93F78" w:rsidRDefault="00E93F78" w:rsidP="00810E85">
      <w:r>
        <w:separator/>
      </w:r>
    </w:p>
  </w:endnote>
  <w:endnote w:type="continuationSeparator" w:id="0">
    <w:p w14:paraId="00F2CFFC" w14:textId="77777777" w:rsidR="00E93F78" w:rsidRDefault="00E93F78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AE21B" w14:textId="77777777" w:rsidR="00E93F78" w:rsidRDefault="00E93F78" w:rsidP="00810E85">
      <w:r>
        <w:separator/>
      </w:r>
    </w:p>
  </w:footnote>
  <w:footnote w:type="continuationSeparator" w:id="0">
    <w:p w14:paraId="117768A3" w14:textId="77777777" w:rsidR="00E93F78" w:rsidRDefault="00E93F78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92FFCFC" w:rsidR="002B3750" w:rsidRDefault="006725D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SERTRALINA COMPRIMIDOS RECUBIERTOS 5</w:t>
          </w:r>
          <w:r w:rsidR="00CF368E">
            <w:rPr>
              <w:sz w:val="32"/>
              <w:lang w:val="es-MX"/>
            </w:rPr>
            <w:t>0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9C4BAD"/>
    <w:multiLevelType w:val="hybridMultilevel"/>
    <w:tmpl w:val="DCC0588C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83C37"/>
    <w:rsid w:val="00447C4C"/>
    <w:rsid w:val="004A23F4"/>
    <w:rsid w:val="004C3F9A"/>
    <w:rsid w:val="0050380D"/>
    <w:rsid w:val="0050693C"/>
    <w:rsid w:val="00515171"/>
    <w:rsid w:val="00555EC9"/>
    <w:rsid w:val="005672AD"/>
    <w:rsid w:val="005821C8"/>
    <w:rsid w:val="00623A1A"/>
    <w:rsid w:val="00631E9B"/>
    <w:rsid w:val="00661429"/>
    <w:rsid w:val="006725D0"/>
    <w:rsid w:val="00674A2C"/>
    <w:rsid w:val="0068721D"/>
    <w:rsid w:val="00697E33"/>
    <w:rsid w:val="006C67E3"/>
    <w:rsid w:val="006E607A"/>
    <w:rsid w:val="00724B6E"/>
    <w:rsid w:val="007430BE"/>
    <w:rsid w:val="007514A8"/>
    <w:rsid w:val="00752540"/>
    <w:rsid w:val="007909D7"/>
    <w:rsid w:val="0079670F"/>
    <w:rsid w:val="007E6F2C"/>
    <w:rsid w:val="0080514B"/>
    <w:rsid w:val="00810E85"/>
    <w:rsid w:val="00825689"/>
    <w:rsid w:val="00831464"/>
    <w:rsid w:val="00860B1F"/>
    <w:rsid w:val="00864EE4"/>
    <w:rsid w:val="00867581"/>
    <w:rsid w:val="00873982"/>
    <w:rsid w:val="008B2795"/>
    <w:rsid w:val="00920C2E"/>
    <w:rsid w:val="009339FC"/>
    <w:rsid w:val="009B4387"/>
    <w:rsid w:val="009C7C16"/>
    <w:rsid w:val="009E4FC5"/>
    <w:rsid w:val="00A07757"/>
    <w:rsid w:val="00A150C9"/>
    <w:rsid w:val="00A2118C"/>
    <w:rsid w:val="00A2581B"/>
    <w:rsid w:val="00A62AEE"/>
    <w:rsid w:val="00A6305E"/>
    <w:rsid w:val="00A644EE"/>
    <w:rsid w:val="00A90DE0"/>
    <w:rsid w:val="00AC0826"/>
    <w:rsid w:val="00AC786C"/>
    <w:rsid w:val="00AD1D04"/>
    <w:rsid w:val="00AD6817"/>
    <w:rsid w:val="00B32BD8"/>
    <w:rsid w:val="00B464F3"/>
    <w:rsid w:val="00B5130D"/>
    <w:rsid w:val="00BD4206"/>
    <w:rsid w:val="00C26E59"/>
    <w:rsid w:val="00C66440"/>
    <w:rsid w:val="00C72A7B"/>
    <w:rsid w:val="00CA6C60"/>
    <w:rsid w:val="00CE48AC"/>
    <w:rsid w:val="00CE6A84"/>
    <w:rsid w:val="00CF368E"/>
    <w:rsid w:val="00D07037"/>
    <w:rsid w:val="00D36B40"/>
    <w:rsid w:val="00D909A0"/>
    <w:rsid w:val="00DB798B"/>
    <w:rsid w:val="00DE4E65"/>
    <w:rsid w:val="00E07E26"/>
    <w:rsid w:val="00E34F77"/>
    <w:rsid w:val="00E422DC"/>
    <w:rsid w:val="00E66673"/>
    <w:rsid w:val="00E93F78"/>
    <w:rsid w:val="00ED1B89"/>
    <w:rsid w:val="00F0306E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42C8-543D-4F5C-91D7-5F7601B1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85</cp:revision>
  <cp:lastPrinted>2017-12-26T03:32:00Z</cp:lastPrinted>
  <dcterms:created xsi:type="dcterms:W3CDTF">2018-08-28T18:38:00Z</dcterms:created>
  <dcterms:modified xsi:type="dcterms:W3CDTF">2019-01-23T20:10:00Z</dcterms:modified>
</cp:coreProperties>
</file>