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15"/>
        <w:gridCol w:w="2155"/>
      </w:tblGrid>
      <w:tr w:rsidR="00BD4206" w14:paraId="1B473A47" w14:textId="77777777" w:rsidTr="00E66673">
        <w:trPr>
          <w:trHeight w:val="2840"/>
          <w:jc w:val="center"/>
        </w:trPr>
        <w:tc>
          <w:tcPr>
            <w:tcW w:w="8115" w:type="dxa"/>
            <w:vAlign w:val="center"/>
          </w:tcPr>
          <w:p w14:paraId="2A7F9B4F" w14:textId="26B33C1B" w:rsidR="00867581" w:rsidRDefault="00096EE1" w:rsidP="00211084">
            <w:pPr>
              <w:pStyle w:val="Textoindependiente"/>
              <w:tabs>
                <w:tab w:val="left" w:pos="2750"/>
              </w:tabs>
              <w:ind w:right="-113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COMPOSICIÓN Y PRESENTACIÓN:</w:t>
            </w:r>
          </w:p>
          <w:p w14:paraId="6B67C60E" w14:textId="77777777" w:rsidR="00163224" w:rsidRPr="00724B6E" w:rsidRDefault="00163224" w:rsidP="00211084">
            <w:pPr>
              <w:pStyle w:val="Textoindependiente"/>
              <w:tabs>
                <w:tab w:val="left" w:pos="2750"/>
              </w:tabs>
              <w:ind w:right="-113"/>
              <w:jc w:val="left"/>
              <w:rPr>
                <w:b/>
                <w:sz w:val="22"/>
                <w:szCs w:val="22"/>
              </w:rPr>
            </w:pPr>
          </w:p>
          <w:p w14:paraId="3165BBA8" w14:textId="6192A441" w:rsidR="00211084" w:rsidRDefault="003D75B6" w:rsidP="00E66673">
            <w:pPr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3D75B6">
              <w:rPr>
                <w:rFonts w:ascii="Arial" w:hAnsi="Arial" w:cs="Arial"/>
                <w:color w:val="000000"/>
                <w:shd w:val="clear" w:color="auto" w:fill="FFFFFF"/>
              </w:rPr>
              <w:t xml:space="preserve">Cada comprimido recubierto contiene: </w:t>
            </w:r>
            <w:proofErr w:type="spellStart"/>
            <w:r w:rsidRPr="003D75B6">
              <w:rPr>
                <w:rFonts w:ascii="Arial" w:hAnsi="Arial" w:cs="Arial"/>
                <w:color w:val="000000"/>
                <w:shd w:val="clear" w:color="auto" w:fill="FFFFFF"/>
              </w:rPr>
              <w:t>Ciclobenzaprina</w:t>
            </w:r>
            <w:proofErr w:type="spellEnd"/>
            <w:r w:rsidRPr="003D75B6">
              <w:rPr>
                <w:rFonts w:ascii="Arial" w:hAnsi="Arial" w:cs="Arial"/>
                <w:color w:val="000000"/>
                <w:shd w:val="clear" w:color="auto" w:fill="FFFFFF"/>
              </w:rPr>
              <w:t xml:space="preserve"> Clorhidrato 10 mg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.</w:t>
            </w:r>
          </w:p>
          <w:p w14:paraId="51B43903" w14:textId="77777777" w:rsidR="00831F84" w:rsidRDefault="00831F84" w:rsidP="00E66673">
            <w:pPr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1875282A" w14:textId="6D9433B8" w:rsidR="00831F84" w:rsidRPr="00261C98" w:rsidRDefault="00831F84" w:rsidP="00831F84">
            <w:pPr>
              <w:tabs>
                <w:tab w:val="left" w:pos="9255"/>
              </w:tabs>
              <w:outlineLvl w:val="0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Exc</w:t>
            </w:r>
            <w:r w:rsidR="005C320E">
              <w:rPr>
                <w:rFonts w:ascii="Arial" w:hAnsi="Arial" w:cs="Arial"/>
                <w:color w:val="000000"/>
                <w:shd w:val="clear" w:color="auto" w:fill="FFFFFF"/>
              </w:rPr>
              <w:t xml:space="preserve">ipientes: </w:t>
            </w:r>
            <w:proofErr w:type="spellStart"/>
            <w:r w:rsidR="005C320E">
              <w:rPr>
                <w:rFonts w:ascii="Arial" w:hAnsi="Arial" w:cs="Arial"/>
                <w:color w:val="000000"/>
                <w:shd w:val="clear" w:color="auto" w:fill="FFFFFF"/>
              </w:rPr>
              <w:t>Croscarmelosa</w:t>
            </w:r>
            <w:proofErr w:type="spellEnd"/>
            <w:r w:rsidR="005C320E">
              <w:rPr>
                <w:rFonts w:ascii="Arial" w:hAnsi="Arial" w:cs="Arial"/>
                <w:color w:val="000000"/>
                <w:shd w:val="clear" w:color="auto" w:fill="FFFFFF"/>
              </w:rPr>
              <w:t xml:space="preserve"> S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ódica, </w:t>
            </w:r>
            <w:r w:rsidR="007309D5">
              <w:rPr>
                <w:rFonts w:ascii="Arial" w:hAnsi="Arial" w:cs="Arial"/>
                <w:color w:val="000000"/>
                <w:shd w:val="clear" w:color="auto" w:fill="FFFFFF"/>
              </w:rPr>
              <w:t xml:space="preserve">Lauril sulfato de sodio,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Dióxido de Silicio Coloidal,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Providona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K-</w:t>
            </w:r>
            <w:r w:rsidR="00BE0A9B">
              <w:rPr>
                <w:rFonts w:ascii="Arial" w:hAnsi="Arial" w:cs="Arial"/>
                <w:color w:val="000000"/>
                <w:shd w:val="clear" w:color="auto" w:fill="FFFFFF"/>
              </w:rPr>
              <w:t xml:space="preserve">30, Lactulosa </w:t>
            </w:r>
            <w:proofErr w:type="spellStart"/>
            <w:r w:rsidR="00BE0A9B">
              <w:rPr>
                <w:rFonts w:ascii="Arial" w:hAnsi="Arial" w:cs="Arial"/>
                <w:color w:val="000000"/>
                <w:shd w:val="clear" w:color="auto" w:fill="FFFFFF"/>
              </w:rPr>
              <w:t>Monohidrato</w:t>
            </w:r>
            <w:proofErr w:type="spellEnd"/>
            <w:r w:rsidR="00BE0A9B">
              <w:rPr>
                <w:rFonts w:ascii="Arial" w:hAnsi="Arial" w:cs="Arial"/>
                <w:color w:val="000000"/>
                <w:shd w:val="clear" w:color="auto" w:fill="FFFFFF"/>
              </w:rPr>
              <w:t>,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Estearato de Magnesio, </w:t>
            </w:r>
            <w:r w:rsidR="00587940">
              <w:rPr>
                <w:rFonts w:ascii="Arial" w:hAnsi="Arial" w:cs="Arial"/>
                <w:color w:val="000000"/>
                <w:shd w:val="clear" w:color="auto" w:fill="FFFFFF"/>
              </w:rPr>
              <w:t>Celulosa M</w:t>
            </w:r>
            <w:r w:rsidR="00BE0A9B">
              <w:rPr>
                <w:rFonts w:ascii="Arial" w:hAnsi="Arial" w:cs="Arial"/>
                <w:color w:val="000000"/>
                <w:shd w:val="clear" w:color="auto" w:fill="FFFFFF"/>
              </w:rPr>
              <w:t xml:space="preserve">icrocristalina, Dióxido de titanio, </w:t>
            </w:r>
            <w:proofErr w:type="spellStart"/>
            <w:r w:rsidR="00BE0A9B">
              <w:rPr>
                <w:rFonts w:ascii="Arial" w:hAnsi="Arial" w:cs="Arial"/>
                <w:color w:val="000000"/>
                <w:shd w:val="clear" w:color="auto" w:fill="FFFFFF"/>
              </w:rPr>
              <w:t>Macrogol</w:t>
            </w:r>
            <w:proofErr w:type="spellEnd"/>
            <w:r w:rsidR="00BE0A9B">
              <w:rPr>
                <w:rFonts w:ascii="Arial" w:hAnsi="Arial" w:cs="Arial"/>
                <w:color w:val="000000"/>
                <w:shd w:val="clear" w:color="auto" w:fill="FFFFFF"/>
              </w:rPr>
              <w:t xml:space="preserve"> 3000, Talco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, Alcohol P</w:t>
            </w:r>
            <w:r w:rsidR="005C320E">
              <w:rPr>
                <w:rFonts w:ascii="Arial" w:hAnsi="Arial" w:cs="Arial"/>
                <w:color w:val="000000"/>
                <w:shd w:val="clear" w:color="auto" w:fill="FFFFFF"/>
              </w:rPr>
              <w:t xml:space="preserve">olivinílico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parcialmente </w:t>
            </w:r>
            <w:r w:rsidR="008F0CDC">
              <w:rPr>
                <w:rFonts w:ascii="Arial" w:hAnsi="Arial" w:cs="Arial"/>
                <w:color w:val="000000"/>
                <w:shd w:val="clear" w:color="auto" w:fill="FFFFFF"/>
              </w:rPr>
              <w:t>Hidrolizado.</w:t>
            </w:r>
          </w:p>
          <w:p w14:paraId="10EE58E6" w14:textId="4695829A" w:rsidR="00BD4206" w:rsidRDefault="00BD4206" w:rsidP="00515171">
            <w:pPr>
              <w:rPr>
                <w:rFonts w:ascii="Arial" w:hAnsi="Arial" w:cs="Arial"/>
              </w:rPr>
            </w:pPr>
          </w:p>
          <w:p w14:paraId="22D5329E" w14:textId="2618D16B" w:rsidR="00BD4206" w:rsidRDefault="00BD4206" w:rsidP="00346F8F">
            <w:pPr>
              <w:tabs>
                <w:tab w:val="left" w:pos="9255"/>
              </w:tabs>
              <w:outlineLvl w:val="0"/>
              <w:rPr>
                <w:rFonts w:ascii="Arial" w:hAnsi="Arial"/>
                <w:b/>
                <w:sz w:val="22"/>
              </w:rPr>
            </w:pPr>
          </w:p>
          <w:p w14:paraId="6803A0AD" w14:textId="3746B9D1" w:rsidR="00BD4206" w:rsidRDefault="00211084" w:rsidP="00346F8F">
            <w:pPr>
              <w:tabs>
                <w:tab w:val="left" w:pos="9255"/>
              </w:tabs>
              <w:outlineLvl w:val="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CLASIFICACIÓN</w:t>
            </w:r>
            <w:r w:rsidR="007909D7">
              <w:rPr>
                <w:rFonts w:ascii="Arial" w:hAnsi="Arial"/>
                <w:b/>
                <w:sz w:val="22"/>
              </w:rPr>
              <w:t>:</w:t>
            </w:r>
          </w:p>
          <w:p w14:paraId="611D5A41" w14:textId="77777777" w:rsidR="00211084" w:rsidRPr="00F0306E" w:rsidRDefault="00211084" w:rsidP="00346F8F">
            <w:pPr>
              <w:tabs>
                <w:tab w:val="left" w:pos="9255"/>
              </w:tabs>
              <w:outlineLvl w:val="0"/>
              <w:rPr>
                <w:rFonts w:ascii="Arial" w:hAnsi="Arial"/>
                <w:sz w:val="22"/>
              </w:rPr>
            </w:pPr>
          </w:p>
          <w:p w14:paraId="3121D767" w14:textId="7609893E" w:rsidR="00BD4206" w:rsidRPr="00867581" w:rsidRDefault="005D2CEC" w:rsidP="007909D7">
            <w:pPr>
              <w:pStyle w:val="Textoindependiente"/>
              <w:jc w:val="left"/>
              <w:outlineLvl w:val="0"/>
              <w:rPr>
                <w:b/>
                <w:sz w:val="22"/>
              </w:rPr>
            </w:pPr>
            <w:r w:rsidRPr="005D2CEC">
              <w:rPr>
                <w:rFonts w:cs="Arial"/>
                <w:color w:val="000000"/>
                <w:shd w:val="clear" w:color="auto" w:fill="FFFFFF"/>
              </w:rPr>
              <w:t>Relajante muscular</w:t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.</w:t>
            </w:r>
          </w:p>
        </w:tc>
        <w:tc>
          <w:tcPr>
            <w:tcW w:w="2155" w:type="dxa"/>
          </w:tcPr>
          <w:p w14:paraId="7A514815" w14:textId="76BB0038" w:rsidR="00BD4206" w:rsidRDefault="00BD4206" w:rsidP="008B2795">
            <w:pPr>
              <w:pStyle w:val="Textoindependiente"/>
              <w:outlineLvl w:val="0"/>
              <w:rPr>
                <w:sz w:val="32"/>
                <w:lang w:val="es-MX"/>
              </w:rPr>
            </w:pPr>
          </w:p>
        </w:tc>
      </w:tr>
    </w:tbl>
    <w:p w14:paraId="68B7C8EC" w14:textId="3A7CEC10" w:rsidR="00383C37" w:rsidRDefault="00272643" w:rsidP="004A23F4">
      <w:pPr>
        <w:spacing w:before="200" w:after="200"/>
        <w:ind w:left="426" w:right="29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INDICACIÓ</w:t>
      </w:r>
      <w:r w:rsidRPr="00272643">
        <w:rPr>
          <w:rFonts w:ascii="Arial" w:hAnsi="Arial"/>
          <w:b/>
          <w:sz w:val="22"/>
        </w:rPr>
        <w:t>N</w:t>
      </w:r>
      <w:r w:rsidR="00383C37" w:rsidRPr="00272643">
        <w:rPr>
          <w:rFonts w:ascii="Arial" w:hAnsi="Arial"/>
          <w:b/>
          <w:sz w:val="22"/>
        </w:rPr>
        <w:t>:</w:t>
      </w:r>
    </w:p>
    <w:p w14:paraId="7060AF51" w14:textId="7FDDB772" w:rsidR="007909D7" w:rsidRPr="004A23F4" w:rsidRDefault="00703FA0" w:rsidP="004A23F4">
      <w:pPr>
        <w:ind w:left="426" w:right="31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Alivio de espasmos musculares asociados a condiciones agudas dolorosas musculoesqueléticos. </w:t>
      </w:r>
    </w:p>
    <w:p w14:paraId="6A3EBE88" w14:textId="669A7E19" w:rsidR="001754C4" w:rsidRPr="001754C4" w:rsidRDefault="00315A7E" w:rsidP="004A23F4">
      <w:pPr>
        <w:spacing w:before="200" w:after="200"/>
        <w:ind w:left="426" w:right="284"/>
        <w:jc w:val="both"/>
        <w:outlineLvl w:val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FORMA DE ADMINISTRACIÓN:</w:t>
      </w:r>
    </w:p>
    <w:p w14:paraId="255A6CB8" w14:textId="567FDA61" w:rsidR="007909D7" w:rsidRPr="007909D7" w:rsidRDefault="007430BE" w:rsidP="004A23F4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>Vía oral.</w:t>
      </w:r>
    </w:p>
    <w:p w14:paraId="33E64064" w14:textId="364DA6B2" w:rsidR="00383C37" w:rsidRDefault="001754C4" w:rsidP="004A23F4">
      <w:pPr>
        <w:pStyle w:val="Textoindependiente"/>
        <w:spacing w:before="200" w:after="120"/>
        <w:ind w:left="426" w:right="284"/>
        <w:jc w:val="both"/>
        <w:outlineLvl w:val="0"/>
        <w:rPr>
          <w:b/>
          <w:sz w:val="22"/>
        </w:rPr>
      </w:pPr>
      <w:r w:rsidRPr="001754C4">
        <w:rPr>
          <w:b/>
          <w:sz w:val="22"/>
        </w:rPr>
        <w:t>ADVERTENCIAS Y PRECAUCIONES:</w:t>
      </w:r>
    </w:p>
    <w:p w14:paraId="5C00DC85" w14:textId="0960EFC9" w:rsidR="00163EBA" w:rsidRDefault="00163EBA" w:rsidP="00163EBA">
      <w:pPr>
        <w:pStyle w:val="Textoindependiente"/>
        <w:numPr>
          <w:ilvl w:val="0"/>
          <w:numId w:val="17"/>
        </w:numPr>
        <w:spacing w:before="200" w:after="120"/>
        <w:ind w:right="284"/>
        <w:jc w:val="both"/>
        <w:outlineLvl w:val="0"/>
      </w:pPr>
      <w:r w:rsidRPr="00163EBA">
        <w:t>No usar en niños menores de 15 años sin indicación médica.</w:t>
      </w:r>
    </w:p>
    <w:p w14:paraId="66DB9DDA" w14:textId="02D03985" w:rsidR="00163EBA" w:rsidRDefault="00163EBA" w:rsidP="00163EBA">
      <w:pPr>
        <w:pStyle w:val="Textoindependiente"/>
        <w:numPr>
          <w:ilvl w:val="0"/>
          <w:numId w:val="17"/>
        </w:numPr>
        <w:spacing w:before="200" w:after="120"/>
        <w:ind w:right="284"/>
        <w:jc w:val="both"/>
        <w:outlineLvl w:val="0"/>
      </w:pPr>
      <w:r>
        <w:t xml:space="preserve">Usar con precaución en pacientes con antecedentes de retención orinaría, glaucoma de ángulo </w:t>
      </w:r>
      <w:r w:rsidR="00A85DDD">
        <w:t>cerrado, aumento</w:t>
      </w:r>
      <w:r>
        <w:t xml:space="preserve"> de la presión intraocular, o en pacientes que reciben drogas anticolinérgicas porque posee efectos adversos anticolinérgicos.</w:t>
      </w:r>
    </w:p>
    <w:p w14:paraId="6FC877F7" w14:textId="31A794C9" w:rsidR="00D0418D" w:rsidRPr="00163EBA" w:rsidRDefault="00D0418D" w:rsidP="00D0418D">
      <w:pPr>
        <w:pStyle w:val="Textoindependiente"/>
        <w:numPr>
          <w:ilvl w:val="0"/>
          <w:numId w:val="17"/>
        </w:numPr>
        <w:spacing w:before="200" w:after="120"/>
        <w:ind w:right="284"/>
        <w:jc w:val="both"/>
        <w:outlineLvl w:val="0"/>
      </w:pPr>
      <w:r>
        <w:t>Puede afectar la capacidad para ejecutar actividades peligrosas que requieren alerta mental o coordinación física, tales como conducir un automóvil, u operar instrumentos o maquinaria.</w:t>
      </w:r>
    </w:p>
    <w:p w14:paraId="19632B5C" w14:textId="77777777" w:rsidR="00163EBA" w:rsidRPr="001754C4" w:rsidRDefault="00163EBA" w:rsidP="004A23F4">
      <w:pPr>
        <w:pStyle w:val="Textoindependiente"/>
        <w:spacing w:before="200" w:after="120"/>
        <w:ind w:left="426" w:right="284"/>
        <w:jc w:val="both"/>
        <w:outlineLvl w:val="0"/>
        <w:rPr>
          <w:b/>
          <w:sz w:val="22"/>
        </w:rPr>
      </w:pPr>
    </w:p>
    <w:p w14:paraId="36771D0B" w14:textId="18B4C6C9" w:rsidR="00272643" w:rsidRDefault="001754C4" w:rsidP="00E34F77">
      <w:pPr>
        <w:pStyle w:val="Textoindependiente"/>
        <w:spacing w:before="200" w:after="120"/>
        <w:ind w:left="426" w:right="284"/>
        <w:jc w:val="both"/>
        <w:outlineLvl w:val="0"/>
        <w:rPr>
          <w:b/>
          <w:sz w:val="22"/>
        </w:rPr>
      </w:pPr>
      <w:r w:rsidRPr="00272643">
        <w:rPr>
          <w:b/>
          <w:sz w:val="22"/>
        </w:rPr>
        <w:t>CONTRAINDICACIONES:</w:t>
      </w:r>
    </w:p>
    <w:p w14:paraId="6A3ADAB8" w14:textId="778B9A05" w:rsidR="004E2845" w:rsidRDefault="004E2845" w:rsidP="00E34F77">
      <w:pPr>
        <w:pStyle w:val="Textoindependiente"/>
        <w:spacing w:before="200" w:after="120"/>
        <w:ind w:left="426" w:right="284"/>
        <w:jc w:val="both"/>
        <w:outlineLvl w:val="0"/>
        <w:rPr>
          <w:b/>
          <w:sz w:val="22"/>
        </w:rPr>
      </w:pPr>
      <w:r w:rsidRPr="00567095">
        <w:t xml:space="preserve">Si su </w:t>
      </w:r>
      <w:r w:rsidR="00567095" w:rsidRPr="00567095">
        <w:t>médico</w:t>
      </w:r>
      <w:r w:rsidRPr="00567095">
        <w:t xml:space="preserve"> no ha dispuesto otra cosa Ud. no debe </w:t>
      </w:r>
      <w:r w:rsidR="00567095" w:rsidRPr="00567095">
        <w:t>usar este medicamento en los siguientes casos</w:t>
      </w:r>
      <w:r w:rsidR="00567095">
        <w:rPr>
          <w:b/>
          <w:sz w:val="22"/>
        </w:rPr>
        <w:t>:</w:t>
      </w:r>
    </w:p>
    <w:p w14:paraId="41A0BA1C" w14:textId="771ED5E6" w:rsidR="00567095" w:rsidRDefault="00567095" w:rsidP="00567095">
      <w:pPr>
        <w:pStyle w:val="Textoindependiente"/>
        <w:numPr>
          <w:ilvl w:val="0"/>
          <w:numId w:val="18"/>
        </w:numPr>
        <w:spacing w:before="200" w:after="120"/>
        <w:ind w:right="284"/>
        <w:jc w:val="both"/>
        <w:outlineLvl w:val="0"/>
      </w:pPr>
      <w:r w:rsidRPr="00567095">
        <w:t xml:space="preserve">En pacientes con alergia a </w:t>
      </w:r>
      <w:proofErr w:type="spellStart"/>
      <w:r w:rsidRPr="00567095">
        <w:t>Ciclobenzaprina</w:t>
      </w:r>
      <w:proofErr w:type="spellEnd"/>
      <w:r w:rsidRPr="00567095">
        <w:t xml:space="preserve"> clorhidrato.</w:t>
      </w:r>
    </w:p>
    <w:p w14:paraId="7500C174" w14:textId="795CA44F" w:rsidR="00567095" w:rsidRPr="00567095" w:rsidRDefault="00567095" w:rsidP="00567095">
      <w:pPr>
        <w:pStyle w:val="Textoindependiente"/>
        <w:numPr>
          <w:ilvl w:val="0"/>
          <w:numId w:val="18"/>
        </w:numPr>
        <w:spacing w:before="200" w:after="120"/>
        <w:ind w:right="284"/>
        <w:jc w:val="both"/>
        <w:outlineLvl w:val="0"/>
      </w:pPr>
      <w:r>
        <w:t xml:space="preserve">Pacientes con hipertiroidismo, falla cardiaca congestiva, arritmias, desordenes del bloqueo y conducción cardiaca, y en la recuperación de la fase aguda de un infarto al miocardio. </w:t>
      </w:r>
    </w:p>
    <w:p w14:paraId="5A21DADD" w14:textId="19240031" w:rsidR="002D0DEF" w:rsidRDefault="002D0DEF" w:rsidP="00E34F77">
      <w:pPr>
        <w:pStyle w:val="Textoindependiente"/>
        <w:spacing w:before="200" w:after="120"/>
        <w:ind w:left="426" w:right="284"/>
        <w:jc w:val="both"/>
        <w:outlineLvl w:val="0"/>
        <w:rPr>
          <w:b/>
          <w:sz w:val="22"/>
        </w:rPr>
      </w:pPr>
      <w:r>
        <w:rPr>
          <w:b/>
          <w:sz w:val="22"/>
        </w:rPr>
        <w:t xml:space="preserve">INTERACCIONES: </w:t>
      </w:r>
    </w:p>
    <w:p w14:paraId="228E97F3" w14:textId="569E8929" w:rsidR="00E07E26" w:rsidRDefault="002D0DEF" w:rsidP="004A23F4">
      <w:pPr>
        <w:ind w:left="426" w:right="284"/>
        <w:jc w:val="both"/>
        <w:rPr>
          <w:rFonts w:ascii="Arial" w:eastAsia="Calibri" w:hAnsi="Arial" w:cs="Arial"/>
          <w:lang w:eastAsia="en-US"/>
        </w:rPr>
      </w:pPr>
      <w:r w:rsidRPr="00E07E26">
        <w:rPr>
          <w:rFonts w:ascii="Arial" w:eastAsia="Calibri" w:hAnsi="Arial" w:cs="Arial"/>
          <w:lang w:eastAsia="en-US"/>
        </w:rPr>
        <w:t>El efecto de un medicamento puede modificarse por su administración</w:t>
      </w:r>
      <w:r w:rsidR="00C26E59">
        <w:rPr>
          <w:rFonts w:ascii="Arial" w:eastAsia="Calibri" w:hAnsi="Arial" w:cs="Arial"/>
          <w:lang w:eastAsia="en-US"/>
        </w:rPr>
        <w:t xml:space="preserve"> junto con otros fármacos</w:t>
      </w:r>
      <w:r w:rsidR="00B32BD8">
        <w:rPr>
          <w:rFonts w:ascii="Arial" w:eastAsia="Calibri" w:hAnsi="Arial" w:cs="Arial"/>
          <w:lang w:eastAsia="en-US"/>
        </w:rPr>
        <w:t xml:space="preserve"> (Interacciones) Ud. debe comunicar</w:t>
      </w:r>
      <w:r w:rsidR="0079670F">
        <w:rPr>
          <w:rFonts w:ascii="Arial" w:eastAsia="Calibri" w:hAnsi="Arial" w:cs="Arial"/>
          <w:lang w:eastAsia="en-US"/>
        </w:rPr>
        <w:t xml:space="preserve"> a su médico </w:t>
      </w:r>
      <w:r w:rsidR="00B32BD8">
        <w:rPr>
          <w:rFonts w:ascii="Arial" w:eastAsia="Calibri" w:hAnsi="Arial" w:cs="Arial"/>
          <w:lang w:eastAsia="en-US"/>
        </w:rPr>
        <w:t xml:space="preserve">de todos los medicamentos que </w:t>
      </w:r>
      <w:r w:rsidR="00920C2E">
        <w:rPr>
          <w:rFonts w:ascii="Arial" w:eastAsia="Calibri" w:hAnsi="Arial" w:cs="Arial"/>
          <w:lang w:eastAsia="en-US"/>
        </w:rPr>
        <w:t>está</w:t>
      </w:r>
      <w:r w:rsidR="00B32BD8">
        <w:rPr>
          <w:rFonts w:ascii="Arial" w:eastAsia="Calibri" w:hAnsi="Arial" w:cs="Arial"/>
          <w:lang w:eastAsia="en-US"/>
        </w:rPr>
        <w:t xml:space="preserve"> tomando</w:t>
      </w:r>
      <w:r w:rsidR="0079670F">
        <w:rPr>
          <w:rFonts w:ascii="Arial" w:eastAsia="Calibri" w:hAnsi="Arial" w:cs="Arial"/>
          <w:lang w:eastAsia="en-US"/>
        </w:rPr>
        <w:t xml:space="preserve">, </w:t>
      </w:r>
      <w:r w:rsidR="00B32BD8">
        <w:rPr>
          <w:rFonts w:ascii="Arial" w:eastAsia="Calibri" w:hAnsi="Arial" w:cs="Arial"/>
          <w:lang w:eastAsia="en-US"/>
        </w:rPr>
        <w:t xml:space="preserve">ya sea con o sin receta médica, </w:t>
      </w:r>
      <w:r w:rsidR="00222BCD">
        <w:rPr>
          <w:rFonts w:ascii="Arial" w:eastAsia="Calibri" w:hAnsi="Arial" w:cs="Arial"/>
          <w:lang w:eastAsia="en-US"/>
        </w:rPr>
        <w:t xml:space="preserve">antes </w:t>
      </w:r>
      <w:r w:rsidR="00920C2E">
        <w:rPr>
          <w:rFonts w:ascii="Arial" w:eastAsia="Calibri" w:hAnsi="Arial" w:cs="Arial"/>
          <w:lang w:eastAsia="en-US"/>
        </w:rPr>
        <w:t>de usar este fármaco</w:t>
      </w:r>
      <w:r w:rsidR="00222BCD">
        <w:rPr>
          <w:rFonts w:ascii="Arial" w:eastAsia="Calibri" w:hAnsi="Arial" w:cs="Arial"/>
          <w:lang w:eastAsia="en-US"/>
        </w:rPr>
        <w:t>.</w:t>
      </w:r>
    </w:p>
    <w:p w14:paraId="1B00D0C6" w14:textId="75991EB1" w:rsidR="00222BCD" w:rsidRPr="00AC21F1" w:rsidRDefault="00843597" w:rsidP="00222BCD">
      <w:pPr>
        <w:pStyle w:val="Prrafodelista"/>
        <w:numPr>
          <w:ilvl w:val="0"/>
          <w:numId w:val="19"/>
        </w:numPr>
        <w:ind w:right="284"/>
        <w:jc w:val="both"/>
        <w:rPr>
          <w:rFonts w:ascii="Arial" w:hAnsi="Arial" w:cs="Arial"/>
          <w:sz w:val="20"/>
          <w:szCs w:val="20"/>
        </w:rPr>
      </w:pPr>
      <w:r w:rsidRPr="00AC21F1">
        <w:rPr>
          <w:rFonts w:ascii="Arial" w:hAnsi="Arial" w:cs="Arial"/>
          <w:sz w:val="20"/>
          <w:szCs w:val="20"/>
        </w:rPr>
        <w:t>Alcohol, depresores</w:t>
      </w:r>
      <w:r w:rsidR="00222BCD" w:rsidRPr="00AC21F1">
        <w:rPr>
          <w:rFonts w:ascii="Arial" w:hAnsi="Arial" w:cs="Arial"/>
          <w:sz w:val="20"/>
          <w:szCs w:val="20"/>
        </w:rPr>
        <w:t xml:space="preserve"> del sistema nervioso central, antidepresivos, tricíclicos.</w:t>
      </w:r>
    </w:p>
    <w:p w14:paraId="7A18DA90" w14:textId="3F5DB410" w:rsidR="00222BCD" w:rsidRPr="00AC21F1" w:rsidRDefault="00222BCD" w:rsidP="00222BCD">
      <w:pPr>
        <w:pStyle w:val="Prrafodelista"/>
        <w:ind w:left="1146" w:right="284"/>
        <w:jc w:val="both"/>
        <w:rPr>
          <w:rFonts w:ascii="Arial" w:hAnsi="Arial" w:cs="Arial"/>
          <w:sz w:val="20"/>
          <w:szCs w:val="20"/>
        </w:rPr>
      </w:pPr>
      <w:r w:rsidRPr="00AC21F1">
        <w:rPr>
          <w:rFonts w:ascii="Arial" w:hAnsi="Arial" w:cs="Arial"/>
          <w:sz w:val="20"/>
          <w:szCs w:val="20"/>
        </w:rPr>
        <w:t>Pueden aumentar la posibilidad de efectos adversos.</w:t>
      </w:r>
    </w:p>
    <w:p w14:paraId="08D1AE4C" w14:textId="48D3785A" w:rsidR="00222BCD" w:rsidRPr="00AC21F1" w:rsidRDefault="00222BCD" w:rsidP="00222BCD">
      <w:pPr>
        <w:pStyle w:val="Prrafodelista"/>
        <w:numPr>
          <w:ilvl w:val="0"/>
          <w:numId w:val="19"/>
        </w:numPr>
        <w:ind w:right="284"/>
        <w:jc w:val="both"/>
        <w:rPr>
          <w:rFonts w:ascii="Arial" w:hAnsi="Arial" w:cs="Arial"/>
          <w:sz w:val="20"/>
          <w:szCs w:val="20"/>
        </w:rPr>
      </w:pPr>
      <w:r w:rsidRPr="00AC21F1">
        <w:rPr>
          <w:rFonts w:ascii="Arial" w:hAnsi="Arial" w:cs="Arial"/>
          <w:sz w:val="20"/>
          <w:szCs w:val="20"/>
        </w:rPr>
        <w:t>I</w:t>
      </w:r>
      <w:r w:rsidR="00AB3154">
        <w:rPr>
          <w:rFonts w:ascii="Arial" w:hAnsi="Arial" w:cs="Arial"/>
          <w:sz w:val="20"/>
          <w:szCs w:val="20"/>
        </w:rPr>
        <w:t xml:space="preserve">nhibidores de </w:t>
      </w:r>
      <w:proofErr w:type="spellStart"/>
      <w:r w:rsidR="00AB3154">
        <w:rPr>
          <w:rFonts w:ascii="Arial" w:hAnsi="Arial" w:cs="Arial"/>
          <w:sz w:val="20"/>
          <w:szCs w:val="20"/>
        </w:rPr>
        <w:t>monoaminooxidasa</w:t>
      </w:r>
      <w:proofErr w:type="spellEnd"/>
      <w:r w:rsidR="00AB3154">
        <w:rPr>
          <w:rFonts w:ascii="Arial" w:hAnsi="Arial" w:cs="Arial"/>
          <w:sz w:val="20"/>
          <w:szCs w:val="20"/>
        </w:rPr>
        <w:t xml:space="preserve">. </w:t>
      </w:r>
      <w:r w:rsidRPr="00AC21F1">
        <w:rPr>
          <w:rFonts w:ascii="Arial" w:hAnsi="Arial" w:cs="Arial"/>
          <w:sz w:val="20"/>
          <w:szCs w:val="20"/>
        </w:rPr>
        <w:t xml:space="preserve">Tomando </w:t>
      </w:r>
      <w:proofErr w:type="spellStart"/>
      <w:r w:rsidRPr="00AC21F1">
        <w:rPr>
          <w:rFonts w:ascii="Arial" w:hAnsi="Arial" w:cs="Arial"/>
          <w:sz w:val="20"/>
          <w:szCs w:val="20"/>
        </w:rPr>
        <w:t>Ciclobenzaprina</w:t>
      </w:r>
      <w:proofErr w:type="spellEnd"/>
      <w:r w:rsidRPr="00AC21F1">
        <w:rPr>
          <w:rFonts w:ascii="Arial" w:hAnsi="Arial" w:cs="Arial"/>
          <w:sz w:val="20"/>
          <w:szCs w:val="20"/>
        </w:rPr>
        <w:t xml:space="preserve"> mientras se está tomando o se dejó de tomar hace menos de 2 semanas los inhibidores de la </w:t>
      </w:r>
      <w:proofErr w:type="spellStart"/>
      <w:r w:rsidRPr="00AC21F1">
        <w:rPr>
          <w:rFonts w:ascii="Arial" w:hAnsi="Arial" w:cs="Arial"/>
          <w:sz w:val="20"/>
          <w:szCs w:val="20"/>
        </w:rPr>
        <w:t>monoaminooxidasa</w:t>
      </w:r>
      <w:proofErr w:type="spellEnd"/>
      <w:r w:rsidR="00A20969">
        <w:rPr>
          <w:rFonts w:ascii="Arial" w:hAnsi="Arial" w:cs="Arial"/>
          <w:sz w:val="20"/>
          <w:szCs w:val="20"/>
        </w:rPr>
        <w:t xml:space="preserve"> puede aumentar la posibilidad de efectos adversos.</w:t>
      </w:r>
    </w:p>
    <w:p w14:paraId="3DE70FE2" w14:textId="77777777" w:rsidR="00AC21F1" w:rsidRDefault="00AC21F1" w:rsidP="00E34F77">
      <w:pPr>
        <w:pStyle w:val="Textoindependiente"/>
        <w:spacing w:before="200" w:after="120"/>
        <w:ind w:left="426" w:right="284"/>
        <w:jc w:val="both"/>
        <w:outlineLvl w:val="0"/>
        <w:rPr>
          <w:b/>
          <w:sz w:val="22"/>
        </w:rPr>
      </w:pPr>
    </w:p>
    <w:p w14:paraId="13F92A80" w14:textId="7095CD04" w:rsidR="00272643" w:rsidRDefault="00E07E26" w:rsidP="00E34F77">
      <w:pPr>
        <w:pStyle w:val="Textoindependiente"/>
        <w:spacing w:before="200" w:after="120"/>
        <w:ind w:left="426" w:right="284"/>
        <w:jc w:val="both"/>
        <w:outlineLvl w:val="0"/>
        <w:rPr>
          <w:b/>
          <w:sz w:val="22"/>
        </w:rPr>
      </w:pPr>
      <w:r>
        <w:rPr>
          <w:b/>
          <w:sz w:val="22"/>
        </w:rPr>
        <w:t>EFECTOS ADVERSOS:</w:t>
      </w:r>
    </w:p>
    <w:p w14:paraId="2B1927AE" w14:textId="0E2A85C2" w:rsidR="004A23F4" w:rsidRDefault="0079670F" w:rsidP="003B790E">
      <w:pPr>
        <w:ind w:left="426" w:right="312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Los medicamentos pueden producir algunos efectos no deseados además de los que se pretende obtener</w:t>
      </w:r>
      <w:r w:rsidR="007430BE">
        <w:rPr>
          <w:rFonts w:ascii="Arial" w:eastAsia="Calibri" w:hAnsi="Arial" w:cs="Arial"/>
          <w:lang w:eastAsia="en-US"/>
        </w:rPr>
        <w:t xml:space="preserve">. </w:t>
      </w:r>
    </w:p>
    <w:p w14:paraId="105A0EB7" w14:textId="67404CEE" w:rsidR="003B790E" w:rsidRDefault="003B790E" w:rsidP="003B790E">
      <w:pPr>
        <w:ind w:left="426" w:right="312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Algunos de estos efectos pueden requerir atención médica.</w:t>
      </w:r>
    </w:p>
    <w:p w14:paraId="07684339" w14:textId="339EB8B6" w:rsidR="003B790E" w:rsidRPr="00E07E26" w:rsidRDefault="003B790E" w:rsidP="003B790E">
      <w:pPr>
        <w:ind w:left="426" w:right="312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Los más comunes son somnolencia, sequedad bucal y mareos,</w:t>
      </w:r>
    </w:p>
    <w:p w14:paraId="6E0BD71D" w14:textId="06538F59" w:rsidR="00272643" w:rsidRPr="001754C4" w:rsidRDefault="001754C4" w:rsidP="00E34F77">
      <w:pPr>
        <w:pStyle w:val="Textoindependiente"/>
        <w:spacing w:before="200" w:after="120"/>
        <w:ind w:left="426" w:right="284"/>
        <w:jc w:val="both"/>
        <w:outlineLvl w:val="0"/>
        <w:rPr>
          <w:b/>
          <w:sz w:val="22"/>
        </w:rPr>
      </w:pPr>
      <w:r w:rsidRPr="001754C4">
        <w:rPr>
          <w:b/>
          <w:sz w:val="22"/>
        </w:rPr>
        <w:t>DOSIS:</w:t>
      </w:r>
    </w:p>
    <w:p w14:paraId="43B40672" w14:textId="1E7D5171" w:rsidR="002D0DEF" w:rsidRPr="009339FC" w:rsidRDefault="002D0DEF" w:rsidP="009339FC">
      <w:pPr>
        <w:ind w:left="426" w:right="312"/>
        <w:jc w:val="both"/>
        <w:rPr>
          <w:rFonts w:ascii="Arial" w:eastAsia="Calibri" w:hAnsi="Arial" w:cs="Arial"/>
          <w:lang w:eastAsia="en-US"/>
        </w:rPr>
      </w:pPr>
      <w:r w:rsidRPr="009339FC">
        <w:rPr>
          <w:rFonts w:ascii="Arial" w:eastAsia="Calibri" w:hAnsi="Arial" w:cs="Arial"/>
          <w:lang w:eastAsia="en-US"/>
        </w:rPr>
        <w:t xml:space="preserve">El medico debe indicar la posología y el tiempo de tratamiento apropiados a su caso particular. No obstante, la dosis recomendada </w:t>
      </w:r>
      <w:r w:rsidR="00A2118C">
        <w:rPr>
          <w:rFonts w:ascii="Arial" w:eastAsia="Calibri" w:hAnsi="Arial" w:cs="Arial"/>
          <w:lang w:eastAsia="en-US"/>
        </w:rPr>
        <w:t xml:space="preserve">es de </w:t>
      </w:r>
      <w:r w:rsidR="003B790E">
        <w:rPr>
          <w:rFonts w:ascii="Arial" w:eastAsia="Calibri" w:hAnsi="Arial" w:cs="Arial"/>
          <w:lang w:eastAsia="en-US"/>
        </w:rPr>
        <w:t>10 mg tres veces al día, con un rango de 20 a 40 mg diarios en dosis divididas. La dosis máxima es de 60 mg diarios. El periodo de tratamiento no puede ser superior a 2-3 semanas.</w:t>
      </w:r>
      <w:r w:rsidR="004C3F9A">
        <w:rPr>
          <w:rFonts w:ascii="Arial" w:eastAsia="Calibri" w:hAnsi="Arial" w:cs="Arial"/>
          <w:lang w:eastAsia="en-US"/>
        </w:rPr>
        <w:t xml:space="preserve"> </w:t>
      </w:r>
    </w:p>
    <w:p w14:paraId="38FBFA63" w14:textId="794E1622" w:rsidR="00272643" w:rsidRPr="00272643" w:rsidRDefault="001754C4" w:rsidP="00E34F77">
      <w:pPr>
        <w:pStyle w:val="Textoindependiente"/>
        <w:spacing w:before="200" w:after="120"/>
        <w:ind w:left="426" w:right="284"/>
        <w:jc w:val="both"/>
        <w:outlineLvl w:val="0"/>
        <w:rPr>
          <w:b/>
          <w:sz w:val="22"/>
        </w:rPr>
      </w:pPr>
      <w:r w:rsidRPr="00272643">
        <w:rPr>
          <w:b/>
          <w:sz w:val="22"/>
        </w:rPr>
        <w:t>SOBREDOSIS:</w:t>
      </w:r>
    </w:p>
    <w:p w14:paraId="544340EE" w14:textId="32B9CAA2" w:rsidR="002D0DEF" w:rsidRDefault="000B68ED" w:rsidP="009339FC">
      <w:pPr>
        <w:ind w:left="426" w:right="312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E</w:t>
      </w:r>
      <w:r w:rsidR="00D909A0">
        <w:rPr>
          <w:rFonts w:ascii="Arial" w:eastAsia="Calibri" w:hAnsi="Arial" w:cs="Arial"/>
          <w:lang w:eastAsia="en-US"/>
        </w:rPr>
        <w:t xml:space="preserve">n caso </w:t>
      </w:r>
      <w:r w:rsidR="003B790E">
        <w:rPr>
          <w:rFonts w:ascii="Arial" w:eastAsia="Calibri" w:hAnsi="Arial" w:cs="Arial"/>
          <w:lang w:eastAsia="en-US"/>
        </w:rPr>
        <w:t>de ingestión accidental se pueden presentar los siguientes síntomas: convulsiones mareos (severos</w:t>
      </w:r>
      <w:r w:rsidR="00041BAF">
        <w:rPr>
          <w:rFonts w:ascii="Arial" w:eastAsia="Calibri" w:hAnsi="Arial" w:cs="Arial"/>
          <w:lang w:eastAsia="en-US"/>
        </w:rPr>
        <w:t>), piel</w:t>
      </w:r>
      <w:bookmarkStart w:id="0" w:name="_GoBack"/>
      <w:bookmarkEnd w:id="0"/>
      <w:r w:rsidR="003B790E">
        <w:rPr>
          <w:rFonts w:ascii="Arial" w:eastAsia="Calibri" w:hAnsi="Arial" w:cs="Arial"/>
          <w:lang w:eastAsia="en-US"/>
        </w:rPr>
        <w:t xml:space="preserve"> sonrojada, seca y calurosa, latidos cardiacos rápidos e irregulares, alucinaciones(ver, oír y sentir cosas que no son)  aumento o disminución de la temperatura corporal, problemas al respirar, rigidez muscular, inexplicable, inusual nerviosismo o inquietud (severa) y vomito.</w:t>
      </w:r>
    </w:p>
    <w:p w14:paraId="4760A2B5" w14:textId="398937BB" w:rsidR="00390F30" w:rsidRDefault="00390F30" w:rsidP="009339FC">
      <w:pPr>
        <w:ind w:left="426" w:right="312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Conduzca al intoxicado a un centro de atención medica hospitalario.</w:t>
      </w:r>
    </w:p>
    <w:p w14:paraId="602BCFD5" w14:textId="77777777" w:rsidR="00390F30" w:rsidRPr="009339FC" w:rsidRDefault="00390F30" w:rsidP="009339FC">
      <w:pPr>
        <w:ind w:left="426" w:right="312"/>
        <w:jc w:val="both"/>
        <w:rPr>
          <w:rFonts w:ascii="Arial" w:eastAsia="Calibri" w:hAnsi="Arial" w:cs="Arial"/>
          <w:lang w:eastAsia="en-US"/>
        </w:rPr>
      </w:pPr>
    </w:p>
    <w:sectPr w:rsidR="00390F30" w:rsidRPr="009339FC" w:rsidSect="0013049B">
      <w:headerReference w:type="default" r:id="rId8"/>
      <w:footerReference w:type="even" r:id="rId9"/>
      <w:footerReference w:type="default" r:id="rId10"/>
      <w:type w:val="continuous"/>
      <w:pgSz w:w="12242" w:h="15842" w:code="1"/>
      <w:pgMar w:top="720" w:right="720" w:bottom="720" w:left="720" w:header="720" w:footer="720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24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94E0FF" w14:textId="77777777" w:rsidR="00547FB9" w:rsidRDefault="00547FB9" w:rsidP="00810E85">
      <w:r>
        <w:separator/>
      </w:r>
    </w:p>
  </w:endnote>
  <w:endnote w:type="continuationSeparator" w:id="0">
    <w:p w14:paraId="27164C95" w14:textId="77777777" w:rsidR="00547FB9" w:rsidRDefault="00547FB9" w:rsidP="00810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5E127" w14:textId="77777777" w:rsidR="002B3750" w:rsidRDefault="002B3750" w:rsidP="005D2577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1AB5EC0" w14:textId="77777777" w:rsidR="002B3750" w:rsidRDefault="002B3750" w:rsidP="002B375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16D2D" w14:textId="77777777" w:rsidR="002B3750" w:rsidRDefault="002B3750" w:rsidP="0013049B">
    <w:pPr>
      <w:pStyle w:val="Piedepgina"/>
      <w:framePr w:wrap="none" w:vAnchor="text" w:hAnchor="page" w:x="11102" w:y="186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C0826">
      <w:rPr>
        <w:rStyle w:val="Nmerodepgina"/>
        <w:noProof/>
      </w:rPr>
      <w:t>1</w:t>
    </w:r>
    <w:r>
      <w:rPr>
        <w:rStyle w:val="Nmerodepgina"/>
      </w:rPr>
      <w:fldChar w:fldCharType="end"/>
    </w:r>
    <w:r>
      <w:rPr>
        <w:rStyle w:val="Nmerodepgina"/>
      </w:rPr>
      <w:t xml:space="preserve"> de 2</w:t>
    </w:r>
  </w:p>
  <w:p w14:paraId="183611A5" w14:textId="77777777" w:rsidR="002B3750" w:rsidRDefault="002B3750" w:rsidP="0013049B">
    <w:pPr>
      <w:pStyle w:val="Piedepgina"/>
      <w:framePr w:h="1300" w:hRule="exact" w:wrap="auto" w:hAnchor="text" w:y="-350"/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5D9E37" w14:textId="77777777" w:rsidR="00547FB9" w:rsidRDefault="00547FB9" w:rsidP="00810E85">
      <w:r>
        <w:separator/>
      </w:r>
    </w:p>
  </w:footnote>
  <w:footnote w:type="continuationSeparator" w:id="0">
    <w:p w14:paraId="1B19F001" w14:textId="77777777" w:rsidR="00547FB9" w:rsidRDefault="00547FB9" w:rsidP="00810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2"/>
      <w:gridCol w:w="8452"/>
    </w:tblGrid>
    <w:tr w:rsidR="002B3750" w14:paraId="5A1FCC43" w14:textId="77777777" w:rsidTr="0013049B">
      <w:trPr>
        <w:trHeight w:val="1500"/>
        <w:jc w:val="center"/>
      </w:trPr>
      <w:tc>
        <w:tcPr>
          <w:tcW w:w="1662" w:type="dxa"/>
          <w:vAlign w:val="center"/>
        </w:tcPr>
        <w:p w14:paraId="1991D04E" w14:textId="7F8386CE" w:rsidR="002B3750" w:rsidRDefault="002B3750" w:rsidP="005E4B2C">
          <w:pPr>
            <w:pStyle w:val="Textoindependiente"/>
            <w:outlineLvl w:val="0"/>
            <w:rPr>
              <w:sz w:val="32"/>
              <w:lang w:val="es-MX"/>
            </w:rPr>
          </w:pPr>
          <w:r>
            <w:rPr>
              <w:noProof/>
              <w:lang w:val="es-ES_tradnl" w:eastAsia="es-ES_tradnl"/>
            </w:rPr>
            <w:drawing>
              <wp:inline distT="0" distB="0" distL="0" distR="0" wp14:anchorId="442A9C40" wp14:editId="31B9197E">
                <wp:extent cx="838800" cy="846000"/>
                <wp:effectExtent l="0" t="0" r="0" b="0"/>
                <wp:docPr id="9" name="Imagen 1" descr="LOGOTIPO MINTLAB 2010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TIPO MINTLAB 2010 BAJ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800" cy="84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52" w:type="dxa"/>
          <w:vAlign w:val="center"/>
        </w:tcPr>
        <w:p w14:paraId="7FC59631" w14:textId="3D6D930C" w:rsidR="002B3750" w:rsidRPr="00367BBA" w:rsidRDefault="00367BBA" w:rsidP="005E4B2C">
          <w:pPr>
            <w:pStyle w:val="Textoindependiente"/>
            <w:outlineLvl w:val="0"/>
            <w:rPr>
              <w:sz w:val="28"/>
              <w:szCs w:val="28"/>
              <w:lang w:val="es-MX"/>
            </w:rPr>
          </w:pPr>
          <w:r w:rsidRPr="00367BBA">
            <w:rPr>
              <w:sz w:val="28"/>
              <w:szCs w:val="28"/>
              <w:lang w:val="es-MX"/>
            </w:rPr>
            <w:t>CICLOBENZAPRINA</w:t>
          </w:r>
          <w:r w:rsidR="00CD237B">
            <w:rPr>
              <w:sz w:val="28"/>
              <w:szCs w:val="28"/>
              <w:lang w:val="es-MX"/>
            </w:rPr>
            <w:t xml:space="preserve"> CLORHIDRATO</w:t>
          </w:r>
          <w:r w:rsidRPr="00367BBA">
            <w:rPr>
              <w:sz w:val="28"/>
              <w:szCs w:val="28"/>
              <w:lang w:val="es-MX"/>
            </w:rPr>
            <w:t xml:space="preserve"> </w:t>
          </w:r>
          <w:r w:rsidR="00CF368E" w:rsidRPr="00367BBA">
            <w:rPr>
              <w:sz w:val="28"/>
              <w:szCs w:val="28"/>
              <w:lang w:val="es-MX"/>
            </w:rPr>
            <w:t xml:space="preserve">COMPRIMIDOS </w:t>
          </w:r>
          <w:r w:rsidRPr="00367BBA">
            <w:rPr>
              <w:sz w:val="28"/>
              <w:szCs w:val="28"/>
              <w:lang w:val="es-MX"/>
            </w:rPr>
            <w:t>RECUBIERTOS 1</w:t>
          </w:r>
          <w:r w:rsidR="00CF368E" w:rsidRPr="00367BBA">
            <w:rPr>
              <w:sz w:val="28"/>
              <w:szCs w:val="28"/>
              <w:lang w:val="es-MX"/>
            </w:rPr>
            <w:t>0 MG</w:t>
          </w:r>
        </w:p>
      </w:tc>
    </w:tr>
  </w:tbl>
  <w:p w14:paraId="10EC06ED" w14:textId="77777777" w:rsidR="002B3750" w:rsidRPr="002B3750" w:rsidRDefault="002B3750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35733"/>
    <w:multiLevelType w:val="hybridMultilevel"/>
    <w:tmpl w:val="265C04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80636"/>
    <w:multiLevelType w:val="hybridMultilevel"/>
    <w:tmpl w:val="C9FC3F08"/>
    <w:lvl w:ilvl="0" w:tplc="3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D1864C7"/>
    <w:multiLevelType w:val="singleLevel"/>
    <w:tmpl w:val="E5D25B3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1E5A148F"/>
    <w:multiLevelType w:val="singleLevel"/>
    <w:tmpl w:val="A78C31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</w:rPr>
    </w:lvl>
  </w:abstractNum>
  <w:abstractNum w:abstractNumId="4" w15:restartNumberingAfterBreak="0">
    <w:nsid w:val="221C399D"/>
    <w:multiLevelType w:val="singleLevel"/>
    <w:tmpl w:val="EE76BF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6250099"/>
    <w:multiLevelType w:val="hybridMultilevel"/>
    <w:tmpl w:val="40509EE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F208B"/>
    <w:multiLevelType w:val="singleLevel"/>
    <w:tmpl w:val="6E2C161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39D26538"/>
    <w:multiLevelType w:val="hybridMultilevel"/>
    <w:tmpl w:val="E4B80EFE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9E66DB8"/>
    <w:multiLevelType w:val="hybridMultilevel"/>
    <w:tmpl w:val="42286A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303D77"/>
    <w:multiLevelType w:val="hybridMultilevel"/>
    <w:tmpl w:val="991679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8728B"/>
    <w:multiLevelType w:val="hybridMultilevel"/>
    <w:tmpl w:val="FA4CD86A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5EBA4AE4"/>
    <w:multiLevelType w:val="hybridMultilevel"/>
    <w:tmpl w:val="879CDA3C"/>
    <w:lvl w:ilvl="0" w:tplc="0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7D8040A"/>
    <w:multiLevelType w:val="singleLevel"/>
    <w:tmpl w:val="4AD8CF7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B0D171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D2E5536"/>
    <w:multiLevelType w:val="singleLevel"/>
    <w:tmpl w:val="5D4CC25E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72D659B5"/>
    <w:multiLevelType w:val="singleLevel"/>
    <w:tmpl w:val="70F00C0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457002A"/>
    <w:multiLevelType w:val="singleLevel"/>
    <w:tmpl w:val="E6FC0E0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6EF0CF8"/>
    <w:multiLevelType w:val="hybridMultilevel"/>
    <w:tmpl w:val="91E4778E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77316442"/>
    <w:multiLevelType w:val="hybridMultilevel"/>
    <w:tmpl w:val="6A407FAA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5"/>
  </w:num>
  <w:num w:numId="4">
    <w:abstractNumId w:val="3"/>
  </w:num>
  <w:num w:numId="5">
    <w:abstractNumId w:val="13"/>
  </w:num>
  <w:num w:numId="6">
    <w:abstractNumId w:val="14"/>
  </w:num>
  <w:num w:numId="7">
    <w:abstractNumId w:val="2"/>
  </w:num>
  <w:num w:numId="8">
    <w:abstractNumId w:val="16"/>
  </w:num>
  <w:num w:numId="9">
    <w:abstractNumId w:val="6"/>
  </w:num>
  <w:num w:numId="10">
    <w:abstractNumId w:val="9"/>
  </w:num>
  <w:num w:numId="11">
    <w:abstractNumId w:val="8"/>
  </w:num>
  <w:num w:numId="12">
    <w:abstractNumId w:val="0"/>
  </w:num>
  <w:num w:numId="13">
    <w:abstractNumId w:val="11"/>
  </w:num>
  <w:num w:numId="14">
    <w:abstractNumId w:val="5"/>
  </w:num>
  <w:num w:numId="15">
    <w:abstractNumId w:val="1"/>
  </w:num>
  <w:num w:numId="16">
    <w:abstractNumId w:val="17"/>
  </w:num>
  <w:num w:numId="17">
    <w:abstractNumId w:val="10"/>
  </w:num>
  <w:num w:numId="18">
    <w:abstractNumId w:val="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21D"/>
    <w:rsid w:val="00041BAF"/>
    <w:rsid w:val="00096EE1"/>
    <w:rsid w:val="000B68ED"/>
    <w:rsid w:val="000E2D0C"/>
    <w:rsid w:val="00114B2C"/>
    <w:rsid w:val="001231E5"/>
    <w:rsid w:val="0013049B"/>
    <w:rsid w:val="001559F4"/>
    <w:rsid w:val="00163224"/>
    <w:rsid w:val="00163EBA"/>
    <w:rsid w:val="00170437"/>
    <w:rsid w:val="00174419"/>
    <w:rsid w:val="001754C4"/>
    <w:rsid w:val="001763CC"/>
    <w:rsid w:val="00193002"/>
    <w:rsid w:val="00211084"/>
    <w:rsid w:val="00220D29"/>
    <w:rsid w:val="00222BCD"/>
    <w:rsid w:val="00272643"/>
    <w:rsid w:val="002B3750"/>
    <w:rsid w:val="002D05C3"/>
    <w:rsid w:val="002D0DEF"/>
    <w:rsid w:val="002F6A45"/>
    <w:rsid w:val="00305826"/>
    <w:rsid w:val="00311AC8"/>
    <w:rsid w:val="00315A7E"/>
    <w:rsid w:val="00346F8F"/>
    <w:rsid w:val="00356133"/>
    <w:rsid w:val="00367BBA"/>
    <w:rsid w:val="00383C37"/>
    <w:rsid w:val="00390F30"/>
    <w:rsid w:val="003B790E"/>
    <w:rsid w:val="003D75B6"/>
    <w:rsid w:val="004A23F4"/>
    <w:rsid w:val="004C3F9A"/>
    <w:rsid w:val="004E2845"/>
    <w:rsid w:val="0050380D"/>
    <w:rsid w:val="0050693C"/>
    <w:rsid w:val="00515171"/>
    <w:rsid w:val="00547FB9"/>
    <w:rsid w:val="00555EC9"/>
    <w:rsid w:val="00567095"/>
    <w:rsid w:val="00587940"/>
    <w:rsid w:val="005C320E"/>
    <w:rsid w:val="005D2CEC"/>
    <w:rsid w:val="00623A1A"/>
    <w:rsid w:val="00661429"/>
    <w:rsid w:val="00674A2C"/>
    <w:rsid w:val="0068721D"/>
    <w:rsid w:val="006C67E3"/>
    <w:rsid w:val="006E607A"/>
    <w:rsid w:val="00703FA0"/>
    <w:rsid w:val="00724B6E"/>
    <w:rsid w:val="007309D5"/>
    <w:rsid w:val="007430BE"/>
    <w:rsid w:val="007514A8"/>
    <w:rsid w:val="007909D7"/>
    <w:rsid w:val="0079670F"/>
    <w:rsid w:val="007E6F2C"/>
    <w:rsid w:val="0080514B"/>
    <w:rsid w:val="00810E85"/>
    <w:rsid w:val="00825689"/>
    <w:rsid w:val="00831464"/>
    <w:rsid w:val="00831F84"/>
    <w:rsid w:val="00843597"/>
    <w:rsid w:val="00864EE4"/>
    <w:rsid w:val="00867581"/>
    <w:rsid w:val="00873982"/>
    <w:rsid w:val="008B2795"/>
    <w:rsid w:val="008B6F0D"/>
    <w:rsid w:val="008F0CDC"/>
    <w:rsid w:val="00920C2E"/>
    <w:rsid w:val="009339FC"/>
    <w:rsid w:val="009B4387"/>
    <w:rsid w:val="009C7C16"/>
    <w:rsid w:val="009E4FC5"/>
    <w:rsid w:val="00A07757"/>
    <w:rsid w:val="00A150C9"/>
    <w:rsid w:val="00A20969"/>
    <w:rsid w:val="00A2118C"/>
    <w:rsid w:val="00A2581B"/>
    <w:rsid w:val="00A62AEE"/>
    <w:rsid w:val="00A644EE"/>
    <w:rsid w:val="00A85DDD"/>
    <w:rsid w:val="00AB3154"/>
    <w:rsid w:val="00AC0826"/>
    <w:rsid w:val="00AC21F1"/>
    <w:rsid w:val="00AD1D04"/>
    <w:rsid w:val="00AD6817"/>
    <w:rsid w:val="00B32BD8"/>
    <w:rsid w:val="00B464F3"/>
    <w:rsid w:val="00B5130D"/>
    <w:rsid w:val="00BD4206"/>
    <w:rsid w:val="00BE0A9B"/>
    <w:rsid w:val="00C26E59"/>
    <w:rsid w:val="00C66440"/>
    <w:rsid w:val="00C72A7B"/>
    <w:rsid w:val="00CA6C60"/>
    <w:rsid w:val="00CD237B"/>
    <w:rsid w:val="00CE48AC"/>
    <w:rsid w:val="00CE6A84"/>
    <w:rsid w:val="00CF368E"/>
    <w:rsid w:val="00D0418D"/>
    <w:rsid w:val="00D36B40"/>
    <w:rsid w:val="00D909A0"/>
    <w:rsid w:val="00DB798B"/>
    <w:rsid w:val="00DE4E65"/>
    <w:rsid w:val="00E07E26"/>
    <w:rsid w:val="00E34F77"/>
    <w:rsid w:val="00E422DC"/>
    <w:rsid w:val="00E54D70"/>
    <w:rsid w:val="00E66673"/>
    <w:rsid w:val="00ED1B89"/>
    <w:rsid w:val="00F0306E"/>
    <w:rsid w:val="00F05845"/>
    <w:rsid w:val="00F31BE3"/>
    <w:rsid w:val="00F56C22"/>
    <w:rsid w:val="00F6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1DB04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z w:val="16"/>
    </w:rPr>
  </w:style>
  <w:style w:type="paragraph" w:styleId="Ttulo4">
    <w:name w:val="heading 4"/>
    <w:basedOn w:val="Normal"/>
    <w:next w:val="Normal"/>
    <w:qFormat/>
    <w:pPr>
      <w:keepNext/>
      <w:ind w:left="709"/>
      <w:jc w:val="both"/>
      <w:outlineLvl w:val="3"/>
    </w:pPr>
    <w:rPr>
      <w:b/>
      <w:sz w:val="24"/>
      <w:lang w:val="es-ES_tradnl"/>
    </w:rPr>
  </w:style>
  <w:style w:type="paragraph" w:styleId="Ttulo5">
    <w:name w:val="heading 5"/>
    <w:basedOn w:val="Normal"/>
    <w:next w:val="Normal"/>
    <w:qFormat/>
    <w:pPr>
      <w:keepNext/>
      <w:ind w:left="709"/>
      <w:outlineLvl w:val="4"/>
    </w:pPr>
    <w:rPr>
      <w:b/>
      <w:sz w:val="24"/>
      <w:lang w:val="es-ES_tradnl"/>
    </w:rPr>
  </w:style>
  <w:style w:type="paragraph" w:styleId="Ttulo6">
    <w:name w:val="heading 6"/>
    <w:basedOn w:val="Normal"/>
    <w:next w:val="Normal"/>
    <w:qFormat/>
    <w:pPr>
      <w:keepNext/>
      <w:ind w:left="709"/>
      <w:outlineLvl w:val="5"/>
    </w:pPr>
    <w:rPr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rFonts w:ascii="Arial" w:hAnsi="Arial"/>
      <w:b/>
      <w:sz w:val="24"/>
      <w:lang w:val="es-ES_tradnl"/>
    </w:rPr>
  </w:style>
  <w:style w:type="paragraph" w:styleId="Textoindependiente">
    <w:name w:val="Body Text"/>
    <w:basedOn w:val="Normal"/>
    <w:pPr>
      <w:jc w:val="center"/>
    </w:pPr>
    <w:rPr>
      <w:rFonts w:ascii="Arial" w:hAnsi="Arial"/>
    </w:rPr>
  </w:style>
  <w:style w:type="paragraph" w:styleId="Textoindependiente2">
    <w:name w:val="Body Text 2"/>
    <w:basedOn w:val="Normal"/>
    <w:pPr>
      <w:jc w:val="both"/>
    </w:pPr>
    <w:rPr>
      <w:rFonts w:ascii="Arial" w:hAnsi="Arial"/>
    </w:rPr>
  </w:style>
  <w:style w:type="paragraph" w:styleId="Textoindependiente3">
    <w:name w:val="Body Text 3"/>
    <w:basedOn w:val="Normal"/>
    <w:pPr>
      <w:jc w:val="both"/>
    </w:pPr>
    <w:rPr>
      <w:rFonts w:ascii="Arial" w:hAnsi="Arial"/>
      <w:sz w:val="18"/>
    </w:rPr>
  </w:style>
  <w:style w:type="paragraph" w:styleId="Sangradetextonormal">
    <w:name w:val="Body Text Indent"/>
    <w:basedOn w:val="Normal"/>
    <w:pPr>
      <w:tabs>
        <w:tab w:val="left" w:pos="142"/>
      </w:tabs>
      <w:ind w:left="142" w:hanging="142"/>
      <w:jc w:val="both"/>
    </w:pPr>
    <w:rPr>
      <w:rFonts w:ascii="Arial" w:hAnsi="Arial"/>
      <w:sz w:val="16"/>
    </w:rPr>
  </w:style>
  <w:style w:type="paragraph" w:styleId="Sangra2detindependiente">
    <w:name w:val="Body Text Indent 2"/>
    <w:basedOn w:val="Normal"/>
    <w:pPr>
      <w:keepNext/>
      <w:ind w:left="709"/>
      <w:jc w:val="both"/>
    </w:pPr>
    <w:rPr>
      <w:color w:val="FF0000"/>
      <w:sz w:val="24"/>
      <w:lang w:val="es-ES_tradnl"/>
    </w:rPr>
  </w:style>
  <w:style w:type="paragraph" w:styleId="Subttulo">
    <w:name w:val="Subtitle"/>
    <w:basedOn w:val="Normal"/>
    <w:qFormat/>
    <w:pPr>
      <w:ind w:left="709"/>
      <w:jc w:val="center"/>
    </w:pPr>
    <w:rPr>
      <w:rFonts w:ascii="Arial Narrow" w:hAnsi="Arial Narrow"/>
      <w:b/>
      <w:w w:val="135"/>
      <w:sz w:val="24"/>
    </w:rPr>
  </w:style>
  <w:style w:type="paragraph" w:styleId="Prrafodelista">
    <w:name w:val="List Paragraph"/>
    <w:basedOn w:val="Normal"/>
    <w:uiPriority w:val="34"/>
    <w:qFormat/>
    <w:rsid w:val="001754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L" w:eastAsia="en-US"/>
    </w:rPr>
  </w:style>
  <w:style w:type="paragraph" w:styleId="Encabezado">
    <w:name w:val="header"/>
    <w:basedOn w:val="Normal"/>
    <w:link w:val="EncabezadoCar"/>
    <w:rsid w:val="00810E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810E85"/>
    <w:rPr>
      <w:lang w:val="es-ES" w:eastAsia="es-ES"/>
    </w:rPr>
  </w:style>
  <w:style w:type="paragraph" w:styleId="Piedepgina">
    <w:name w:val="footer"/>
    <w:basedOn w:val="Normal"/>
    <w:link w:val="PiedepginaCar"/>
    <w:rsid w:val="00810E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810E85"/>
    <w:rPr>
      <w:lang w:val="es-ES" w:eastAsia="es-ES"/>
    </w:rPr>
  </w:style>
  <w:style w:type="table" w:styleId="Tablaconcuadrcula">
    <w:name w:val="Table Grid"/>
    <w:basedOn w:val="Tablanormal"/>
    <w:rsid w:val="008B2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2B37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E7929-AA4A-4998-AB00-6F755C8C2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469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FOLLETO DE INFORMACION AL PACIENTE</vt:lpstr>
    </vt:vector>
  </TitlesOfParts>
  <Company>Mintlab Co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FOLLETO DE INFORMACION AL PACIENTE</dc:title>
  <dc:subject/>
  <dc:creator>Mintlab</dc:creator>
  <cp:keywords/>
  <cp:lastModifiedBy>Mariangeli Castellano Suárez</cp:lastModifiedBy>
  <cp:revision>155</cp:revision>
  <cp:lastPrinted>2017-12-26T03:32:00Z</cp:lastPrinted>
  <dcterms:created xsi:type="dcterms:W3CDTF">2018-08-28T18:38:00Z</dcterms:created>
  <dcterms:modified xsi:type="dcterms:W3CDTF">2019-01-17T12:31:00Z</dcterms:modified>
</cp:coreProperties>
</file>