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2"/>
        <w:gridCol w:w="2167"/>
      </w:tblGrid>
      <w:tr w:rsidR="00BD4206" w14:paraId="1B473A47" w14:textId="77777777" w:rsidTr="00641B8A">
        <w:trPr>
          <w:trHeight w:val="2341"/>
          <w:jc w:val="center"/>
        </w:trPr>
        <w:tc>
          <w:tcPr>
            <w:tcW w:w="8162" w:type="dxa"/>
            <w:vAlign w:val="center"/>
          </w:tcPr>
          <w:p w14:paraId="6B67C60E" w14:textId="501CD5BF" w:rsidR="00163224" w:rsidRDefault="00410DB6" w:rsidP="00211084">
            <w:pPr>
              <w:pStyle w:val="Textoindependiente"/>
              <w:tabs>
                <w:tab w:val="left" w:pos="2750"/>
              </w:tabs>
              <w:ind w:right="-113"/>
              <w:jc w:val="left"/>
              <w:rPr>
                <w:b/>
                <w:sz w:val="22"/>
                <w:szCs w:val="22"/>
              </w:rPr>
            </w:pPr>
            <w:r>
              <w:rPr>
                <w:b/>
                <w:sz w:val="22"/>
                <w:szCs w:val="22"/>
              </w:rPr>
              <w:t>COMPOSICIÓN:</w:t>
            </w:r>
          </w:p>
          <w:p w14:paraId="1F168940" w14:textId="77777777" w:rsidR="001E0527" w:rsidRPr="00724B6E" w:rsidRDefault="001E0527" w:rsidP="00211084">
            <w:pPr>
              <w:pStyle w:val="Textoindependiente"/>
              <w:tabs>
                <w:tab w:val="left" w:pos="2750"/>
              </w:tabs>
              <w:ind w:right="-113"/>
              <w:jc w:val="left"/>
              <w:rPr>
                <w:b/>
                <w:sz w:val="22"/>
                <w:szCs w:val="22"/>
              </w:rPr>
            </w:pPr>
          </w:p>
          <w:p w14:paraId="44FBDF7B" w14:textId="77777777" w:rsidR="00A77F1A" w:rsidRDefault="00A77F1A" w:rsidP="00515171">
            <w:pPr>
              <w:rPr>
                <w:rFonts w:ascii="Arial" w:hAnsi="Arial" w:cs="Arial"/>
                <w:color w:val="000000"/>
                <w:shd w:val="clear" w:color="auto" w:fill="FFFFFF"/>
              </w:rPr>
            </w:pPr>
            <w:r w:rsidRPr="00A77F1A">
              <w:rPr>
                <w:rFonts w:ascii="Arial" w:hAnsi="Arial" w:cs="Arial"/>
                <w:color w:val="000000"/>
                <w:shd w:val="clear" w:color="auto" w:fill="FFFFFF"/>
              </w:rPr>
              <w:t xml:space="preserve">Cada comprimido contiene: Meloxicam 15 mg. </w:t>
            </w:r>
          </w:p>
          <w:p w14:paraId="10EE58E6" w14:textId="37DB81C6" w:rsidR="00BD4206" w:rsidRPr="00A77F1A" w:rsidRDefault="00A77F1A" w:rsidP="00515171">
            <w:pPr>
              <w:rPr>
                <w:rFonts w:ascii="Arial" w:hAnsi="Arial" w:cs="Arial"/>
              </w:rPr>
            </w:pPr>
            <w:r w:rsidRPr="00A77F1A">
              <w:rPr>
                <w:rFonts w:ascii="Arial" w:hAnsi="Arial" w:cs="Arial"/>
                <w:color w:val="000000"/>
                <w:shd w:val="clear" w:color="auto" w:fill="FFFFFF"/>
              </w:rPr>
              <w:t xml:space="preserve">Excipientes: Dióxido de Silicio Coloidal, Citrato Trisódico </w:t>
            </w:r>
            <w:proofErr w:type="spellStart"/>
            <w:r w:rsidRPr="00A77F1A">
              <w:rPr>
                <w:rFonts w:ascii="Arial" w:hAnsi="Arial" w:cs="Arial"/>
                <w:color w:val="000000"/>
                <w:shd w:val="clear" w:color="auto" w:fill="FFFFFF"/>
              </w:rPr>
              <w:t>Dihidrato</w:t>
            </w:r>
            <w:proofErr w:type="spellEnd"/>
            <w:r w:rsidRPr="00A77F1A">
              <w:rPr>
                <w:rFonts w:ascii="Arial" w:hAnsi="Arial" w:cs="Arial"/>
                <w:color w:val="000000"/>
                <w:shd w:val="clear" w:color="auto" w:fill="FFFFFF"/>
              </w:rPr>
              <w:t xml:space="preserve">, </w:t>
            </w:r>
            <w:proofErr w:type="spellStart"/>
            <w:r w:rsidRPr="00A77F1A">
              <w:rPr>
                <w:rFonts w:ascii="Arial" w:hAnsi="Arial" w:cs="Arial"/>
                <w:color w:val="000000"/>
                <w:shd w:val="clear" w:color="auto" w:fill="FFFFFF"/>
              </w:rPr>
              <w:t>Croscarmelosa</w:t>
            </w:r>
            <w:proofErr w:type="spellEnd"/>
            <w:r w:rsidRPr="00A77F1A">
              <w:rPr>
                <w:rFonts w:ascii="Arial" w:hAnsi="Arial" w:cs="Arial"/>
                <w:color w:val="000000"/>
                <w:shd w:val="clear" w:color="auto" w:fill="FFFFFF"/>
              </w:rPr>
              <w:t xml:space="preserve"> Sódica, Estearato de Magnesio, Lactosa </w:t>
            </w:r>
            <w:proofErr w:type="spellStart"/>
            <w:r w:rsidRPr="00A77F1A">
              <w:rPr>
                <w:rFonts w:ascii="Arial" w:hAnsi="Arial" w:cs="Arial"/>
                <w:color w:val="000000"/>
                <w:shd w:val="clear" w:color="auto" w:fill="FFFFFF"/>
              </w:rPr>
              <w:t>Monohidrato</w:t>
            </w:r>
            <w:proofErr w:type="spellEnd"/>
            <w:r w:rsidRPr="00A77F1A">
              <w:rPr>
                <w:rFonts w:ascii="Arial" w:hAnsi="Arial" w:cs="Arial"/>
                <w:color w:val="000000"/>
                <w:shd w:val="clear" w:color="auto" w:fill="FFFFFF"/>
              </w:rPr>
              <w:t xml:space="preserve">, Celulosa </w:t>
            </w:r>
            <w:r w:rsidR="007675A4" w:rsidRPr="00A77F1A">
              <w:rPr>
                <w:rFonts w:ascii="Arial" w:hAnsi="Arial" w:cs="Arial"/>
                <w:color w:val="000000"/>
                <w:shd w:val="clear" w:color="auto" w:fill="FFFFFF"/>
              </w:rPr>
              <w:t>Microcristalina.</w:t>
            </w:r>
          </w:p>
          <w:p w14:paraId="22D5329E" w14:textId="2618D16B" w:rsidR="00BD4206" w:rsidRDefault="00BD4206" w:rsidP="00346F8F">
            <w:pPr>
              <w:tabs>
                <w:tab w:val="left" w:pos="9255"/>
              </w:tabs>
              <w:outlineLvl w:val="0"/>
              <w:rPr>
                <w:rFonts w:ascii="Arial" w:hAnsi="Arial"/>
                <w:b/>
                <w:sz w:val="22"/>
              </w:rPr>
            </w:pPr>
          </w:p>
          <w:p w14:paraId="6803A0AD" w14:textId="3746B9D1" w:rsidR="00BD4206" w:rsidRDefault="00211084" w:rsidP="00346F8F">
            <w:pPr>
              <w:tabs>
                <w:tab w:val="left" w:pos="9255"/>
              </w:tabs>
              <w:outlineLvl w:val="0"/>
              <w:rPr>
                <w:rFonts w:ascii="Arial" w:hAnsi="Arial"/>
                <w:b/>
                <w:sz w:val="22"/>
              </w:rPr>
            </w:pPr>
            <w:r>
              <w:rPr>
                <w:rFonts w:ascii="Arial" w:hAnsi="Arial"/>
                <w:b/>
                <w:sz w:val="22"/>
              </w:rPr>
              <w:t>CLASIFICACIÓN</w:t>
            </w:r>
            <w:r w:rsidR="007909D7">
              <w:rPr>
                <w:rFonts w:ascii="Arial" w:hAnsi="Arial"/>
                <w:b/>
                <w:sz w:val="22"/>
              </w:rPr>
              <w:t>:</w:t>
            </w:r>
          </w:p>
          <w:p w14:paraId="611D5A41" w14:textId="77777777" w:rsidR="00211084" w:rsidRPr="00F0306E" w:rsidRDefault="00211084" w:rsidP="00346F8F">
            <w:pPr>
              <w:tabs>
                <w:tab w:val="left" w:pos="9255"/>
              </w:tabs>
              <w:outlineLvl w:val="0"/>
              <w:rPr>
                <w:rFonts w:ascii="Arial" w:hAnsi="Arial"/>
                <w:sz w:val="22"/>
              </w:rPr>
            </w:pPr>
          </w:p>
          <w:p w14:paraId="3121D767" w14:textId="46A4499F" w:rsidR="00BD4206" w:rsidRPr="00CB1A08" w:rsidRDefault="00CB1A08" w:rsidP="007909D7">
            <w:pPr>
              <w:pStyle w:val="Textoindependiente"/>
              <w:jc w:val="left"/>
              <w:outlineLvl w:val="0"/>
              <w:rPr>
                <w:rFonts w:cs="Arial"/>
                <w:b/>
              </w:rPr>
            </w:pPr>
            <w:r w:rsidRPr="00CB1A08">
              <w:rPr>
                <w:rFonts w:cs="Arial"/>
                <w:color w:val="000000"/>
                <w:shd w:val="clear" w:color="auto" w:fill="FFFFFF"/>
              </w:rPr>
              <w:t>Antiinflamatorio, analgésico, antipirético no esteroidal.</w:t>
            </w:r>
            <w:r w:rsidR="00211084" w:rsidRPr="00CB1A08">
              <w:rPr>
                <w:rFonts w:cs="Arial"/>
                <w:b/>
              </w:rPr>
              <w:t xml:space="preserve"> </w:t>
            </w:r>
          </w:p>
        </w:tc>
        <w:tc>
          <w:tcPr>
            <w:tcW w:w="2167" w:type="dxa"/>
          </w:tcPr>
          <w:p w14:paraId="7A514815" w14:textId="76BB0038" w:rsidR="00BD4206" w:rsidRDefault="00BD4206" w:rsidP="008B2795">
            <w:pPr>
              <w:pStyle w:val="Textoindependiente"/>
              <w:outlineLvl w:val="0"/>
              <w:rPr>
                <w:sz w:val="32"/>
                <w:lang w:val="es-MX"/>
              </w:rPr>
            </w:pPr>
          </w:p>
        </w:tc>
      </w:tr>
    </w:tbl>
    <w:p w14:paraId="68B7C8EC" w14:textId="3A7CEC10" w:rsidR="00383C37" w:rsidRDefault="00272643" w:rsidP="004A23F4">
      <w:pPr>
        <w:spacing w:before="200" w:after="200"/>
        <w:ind w:left="426" w:right="29"/>
        <w:jc w:val="both"/>
        <w:rPr>
          <w:rFonts w:ascii="Arial" w:hAnsi="Arial"/>
          <w:b/>
          <w:sz w:val="22"/>
        </w:rPr>
      </w:pPr>
      <w:r>
        <w:rPr>
          <w:rFonts w:ascii="Arial" w:hAnsi="Arial"/>
          <w:b/>
          <w:sz w:val="22"/>
        </w:rPr>
        <w:t>INDICACIÓ</w:t>
      </w:r>
      <w:r w:rsidRPr="00272643">
        <w:rPr>
          <w:rFonts w:ascii="Arial" w:hAnsi="Arial"/>
          <w:b/>
          <w:sz w:val="22"/>
        </w:rPr>
        <w:t>N</w:t>
      </w:r>
      <w:r w:rsidR="00383C37" w:rsidRPr="00272643">
        <w:rPr>
          <w:rFonts w:ascii="Arial" w:hAnsi="Arial"/>
          <w:b/>
          <w:sz w:val="22"/>
        </w:rPr>
        <w:t>:</w:t>
      </w:r>
    </w:p>
    <w:p w14:paraId="5021DA49" w14:textId="77777777" w:rsidR="00641B8A" w:rsidRPr="002B0A70" w:rsidRDefault="00641B8A" w:rsidP="004A23F4">
      <w:pPr>
        <w:spacing w:before="200" w:after="200"/>
        <w:ind w:left="426" w:right="284"/>
        <w:jc w:val="both"/>
        <w:outlineLvl w:val="0"/>
        <w:rPr>
          <w:rFonts w:ascii="Arial" w:hAnsi="Arial" w:cs="Arial"/>
          <w:b/>
        </w:rPr>
      </w:pPr>
      <w:r w:rsidRPr="002B0A70">
        <w:rPr>
          <w:rFonts w:ascii="Arial" w:hAnsi="Arial" w:cs="Arial"/>
          <w:color w:val="000000"/>
          <w:shd w:val="clear" w:color="auto" w:fill="FFFFFF"/>
        </w:rPr>
        <w:t>Tratamiento sintomático (dolor e inflamación) de patologías osteoarticulares, especialmente de artritis reumatoidea, osteoartritis dolorosa (artritis, enfermedad articular degenerativa).</w:t>
      </w:r>
      <w:r w:rsidRPr="002B0A70">
        <w:rPr>
          <w:rFonts w:ascii="Arial" w:hAnsi="Arial" w:cs="Arial"/>
          <w:b/>
        </w:rPr>
        <w:t xml:space="preserve"> </w:t>
      </w:r>
    </w:p>
    <w:p w14:paraId="6A3EBE88" w14:textId="4DEB1F70" w:rsidR="001754C4" w:rsidRPr="001754C4" w:rsidRDefault="00315A7E" w:rsidP="004A23F4">
      <w:pPr>
        <w:spacing w:before="200" w:after="200"/>
        <w:ind w:left="426" w:right="284"/>
        <w:jc w:val="both"/>
        <w:outlineLvl w:val="0"/>
        <w:rPr>
          <w:rFonts w:ascii="Arial" w:hAnsi="Arial"/>
          <w:b/>
          <w:sz w:val="22"/>
        </w:rPr>
      </w:pPr>
      <w:r>
        <w:rPr>
          <w:rFonts w:ascii="Arial" w:hAnsi="Arial"/>
          <w:b/>
          <w:sz w:val="22"/>
        </w:rPr>
        <w:t>FORMA DE ADMINISTRACIÓN:</w:t>
      </w:r>
    </w:p>
    <w:p w14:paraId="255A6CB8" w14:textId="567FDA61" w:rsidR="007909D7" w:rsidRPr="007909D7" w:rsidRDefault="007430BE" w:rsidP="004A23F4">
      <w:pPr>
        <w:ind w:left="426"/>
        <w:rPr>
          <w:rFonts w:ascii="Arial" w:hAnsi="Arial" w:cs="Arial"/>
        </w:rPr>
      </w:pPr>
      <w:r>
        <w:rPr>
          <w:rFonts w:ascii="Arial" w:hAnsi="Arial" w:cs="Arial"/>
        </w:rPr>
        <w:t>Vía oral.</w:t>
      </w:r>
    </w:p>
    <w:p w14:paraId="33E64064" w14:textId="77777777" w:rsidR="00383C37" w:rsidRPr="001754C4" w:rsidRDefault="001754C4" w:rsidP="004A23F4">
      <w:pPr>
        <w:pStyle w:val="Textoindependiente"/>
        <w:spacing w:before="200" w:after="120"/>
        <w:ind w:left="426" w:right="284"/>
        <w:jc w:val="both"/>
        <w:outlineLvl w:val="0"/>
        <w:rPr>
          <w:b/>
          <w:sz w:val="22"/>
        </w:rPr>
      </w:pPr>
      <w:r w:rsidRPr="001754C4">
        <w:rPr>
          <w:b/>
          <w:sz w:val="22"/>
        </w:rPr>
        <w:t>ADVERTENCIAS Y PRECAUCIONES:</w:t>
      </w:r>
    </w:p>
    <w:p w14:paraId="23410250" w14:textId="77777777" w:rsidR="00383C37" w:rsidRPr="00ED1B89" w:rsidRDefault="001754C4" w:rsidP="004A23F4">
      <w:pPr>
        <w:pStyle w:val="Textoindependiente"/>
        <w:spacing w:before="120" w:after="120"/>
        <w:ind w:left="426" w:right="284"/>
        <w:jc w:val="both"/>
        <w:outlineLvl w:val="0"/>
        <w:rPr>
          <w:b/>
        </w:rPr>
      </w:pPr>
      <w:r w:rsidRPr="00ED1B89">
        <w:rPr>
          <w:b/>
        </w:rPr>
        <w:t>ÚSESE SÓLO POR INDICACIÓN Y BAJO SUPERVISIÓN MÉDICA.</w:t>
      </w:r>
    </w:p>
    <w:p w14:paraId="63642FC1" w14:textId="15425F36" w:rsidR="001F36C9" w:rsidRPr="001F36C9" w:rsidRDefault="001F36C9" w:rsidP="00E34F77">
      <w:pPr>
        <w:pStyle w:val="Textoindependiente"/>
        <w:spacing w:before="200" w:after="120"/>
        <w:ind w:left="426" w:right="284"/>
        <w:jc w:val="both"/>
        <w:outlineLvl w:val="0"/>
        <w:rPr>
          <w:rFonts w:cs="Arial"/>
          <w:b/>
        </w:rPr>
      </w:pPr>
      <w:r w:rsidRPr="001F36C9">
        <w:rPr>
          <w:rFonts w:cs="Arial"/>
          <w:color w:val="000000"/>
          <w:shd w:val="clear" w:color="auto" w:fill="FFFFFF"/>
        </w:rPr>
        <w:t>Administrar con precaución en pacientes con historial de ulceración o sangramiento gastrointestinal, en tratamiento con anticoagulantes o corticoesteroides, fumadores, con dependencia de alcohol o con estado de salud debilitado. Si llegara a presentarse ulceración péptica o sangrado gastrointestinal, el medicamento se debe suspender inmediatamente. Se han observado reacciones de hipersensibilidad (incluyendo reacciones anafilácticas) potencialmente fatales en pacientes en tratamiento con meloxicam. Los síntomas complejos generalmente ocurren en pacientes asmáticos con experiencia en rinitis con o sin pólipos nasales, en estos casos Meloxicam debe suspenderse inmediatamente</w:t>
      </w:r>
      <w:r w:rsidRPr="001F36C9">
        <w:rPr>
          <w:rFonts w:cs="Arial"/>
          <w:b/>
        </w:rPr>
        <w:t xml:space="preserve"> </w:t>
      </w:r>
    </w:p>
    <w:p w14:paraId="36771D0B" w14:textId="6BFCFC33" w:rsidR="00272643" w:rsidRDefault="001754C4" w:rsidP="00E34F77">
      <w:pPr>
        <w:pStyle w:val="Textoindependiente"/>
        <w:spacing w:before="200" w:after="120"/>
        <w:ind w:left="426" w:right="284"/>
        <w:jc w:val="both"/>
        <w:outlineLvl w:val="0"/>
        <w:rPr>
          <w:b/>
          <w:sz w:val="22"/>
        </w:rPr>
      </w:pPr>
      <w:r w:rsidRPr="00272643">
        <w:rPr>
          <w:b/>
          <w:sz w:val="22"/>
        </w:rPr>
        <w:t>CONTRAINDICACIONES:</w:t>
      </w:r>
    </w:p>
    <w:p w14:paraId="05E1D563" w14:textId="77777777" w:rsidR="00816127" w:rsidRPr="00816127" w:rsidRDefault="00943844" w:rsidP="00E34F77">
      <w:pPr>
        <w:pStyle w:val="Textoindependiente"/>
        <w:spacing w:before="200" w:after="120"/>
        <w:ind w:left="426" w:right="284"/>
        <w:jc w:val="both"/>
        <w:outlineLvl w:val="0"/>
        <w:rPr>
          <w:rFonts w:cs="Arial"/>
        </w:rPr>
      </w:pPr>
      <w:r w:rsidRPr="00816127">
        <w:rPr>
          <w:rFonts w:cs="Arial"/>
          <w:bCs/>
          <w:color w:val="000000"/>
          <w:shd w:val="clear" w:color="auto" w:fill="FFFFFF"/>
        </w:rPr>
        <w:t>No usar en pacientes con:</w:t>
      </w:r>
      <w:r w:rsidRPr="00816127">
        <w:rPr>
          <w:rFonts w:cs="Arial"/>
          <w:color w:val="000000"/>
          <w:shd w:val="clear" w:color="auto" w:fill="FFFFFF"/>
        </w:rPr>
        <w:t xml:space="preserve"> Hipersensibilidad conocida al principio activo. Tratamiento con aspirina u otros antiinflamatorios no esteroidales. Úlcera péptica activa. Insuficiencia hepática o renal severa. Embarazo o durante la lactancia. No debe usar </w:t>
      </w:r>
      <w:proofErr w:type="spellStart"/>
      <w:r w:rsidRPr="00816127">
        <w:rPr>
          <w:rFonts w:cs="Arial"/>
          <w:color w:val="000000"/>
          <w:shd w:val="clear" w:color="auto" w:fill="FFFFFF"/>
        </w:rPr>
        <w:t>AINEs</w:t>
      </w:r>
      <w:proofErr w:type="spellEnd"/>
      <w:r w:rsidRPr="00816127">
        <w:rPr>
          <w:rFonts w:cs="Arial"/>
          <w:color w:val="000000"/>
          <w:shd w:val="clear" w:color="auto" w:fill="FFFFFF"/>
        </w:rPr>
        <w:t xml:space="preserve"> con excepción de ácido acetilsalicílico en el período inmediato a una cirugía de </w:t>
      </w:r>
      <w:proofErr w:type="spellStart"/>
      <w:r w:rsidRPr="00816127">
        <w:rPr>
          <w:rFonts w:cs="Arial"/>
          <w:color w:val="000000"/>
          <w:shd w:val="clear" w:color="auto" w:fill="FFFFFF"/>
        </w:rPr>
        <w:t>by-pass</w:t>
      </w:r>
      <w:proofErr w:type="spellEnd"/>
      <w:r w:rsidRPr="00816127">
        <w:rPr>
          <w:rFonts w:cs="Arial"/>
          <w:color w:val="000000"/>
          <w:shd w:val="clear" w:color="auto" w:fill="FFFFFF"/>
        </w:rPr>
        <w:t xml:space="preserve"> coronario. </w:t>
      </w:r>
      <w:r w:rsidRPr="00816127">
        <w:rPr>
          <w:rFonts w:cs="Arial"/>
          <w:bCs/>
          <w:color w:val="000000"/>
          <w:shd w:val="clear" w:color="auto" w:fill="FFFFFF"/>
        </w:rPr>
        <w:t>Uso en embarazo y lactancia:</w:t>
      </w:r>
      <w:r w:rsidRPr="00816127">
        <w:rPr>
          <w:rFonts w:cs="Arial"/>
          <w:color w:val="000000"/>
          <w:shd w:val="clear" w:color="auto" w:fill="FFFFFF"/>
        </w:rPr>
        <w:t> No se recomienda su uso durante el embarazo o la lactancia.</w:t>
      </w:r>
      <w:r w:rsidRPr="00816127">
        <w:rPr>
          <w:rFonts w:cs="Arial"/>
        </w:rPr>
        <w:t xml:space="preserve"> </w:t>
      </w:r>
    </w:p>
    <w:p w14:paraId="5A21DADD" w14:textId="5BD1421A" w:rsidR="002D0DEF" w:rsidRDefault="002D0DEF" w:rsidP="00E34F77">
      <w:pPr>
        <w:pStyle w:val="Textoindependiente"/>
        <w:spacing w:before="200" w:after="120"/>
        <w:ind w:left="426" w:right="284"/>
        <w:jc w:val="both"/>
        <w:outlineLvl w:val="0"/>
        <w:rPr>
          <w:b/>
          <w:sz w:val="22"/>
        </w:rPr>
      </w:pPr>
      <w:r>
        <w:rPr>
          <w:b/>
          <w:sz w:val="22"/>
        </w:rPr>
        <w:t xml:space="preserve">INTERACCIONES: </w:t>
      </w:r>
    </w:p>
    <w:p w14:paraId="1B108A22" w14:textId="77777777" w:rsidR="00664817" w:rsidRDefault="00664817" w:rsidP="00E34F77">
      <w:pPr>
        <w:pStyle w:val="Textoindependiente"/>
        <w:spacing w:before="200" w:after="120"/>
        <w:ind w:left="426" w:right="284"/>
        <w:jc w:val="both"/>
        <w:outlineLvl w:val="0"/>
        <w:rPr>
          <w:b/>
          <w:sz w:val="22"/>
        </w:rPr>
      </w:pPr>
      <w:r w:rsidRPr="00664817">
        <w:rPr>
          <w:rFonts w:cs="Arial"/>
          <w:color w:val="000000"/>
          <w:shd w:val="clear" w:color="auto" w:fill="FFFFFF"/>
        </w:rPr>
        <w:t>El efecto de un medicamento puede modificarse por su administración junto con otros (interacciones). </w:t>
      </w:r>
      <w:r w:rsidRPr="00664817">
        <w:rPr>
          <w:rFonts w:cs="Arial"/>
          <w:bCs/>
          <w:color w:val="000000"/>
          <w:shd w:val="clear" w:color="auto" w:fill="FFFFFF"/>
        </w:rPr>
        <w:t>Ud. debe comunicar a su médico o farmacéutico todos los medicamentos que está tomando, ya sea con o sin receta médica, antes de usar este fármaco, especialmente si se trata de: </w:t>
      </w:r>
      <w:r w:rsidRPr="00664817">
        <w:rPr>
          <w:rFonts w:cs="Arial"/>
          <w:color w:val="000000"/>
          <w:shd w:val="clear" w:color="auto" w:fill="FFFFFF"/>
        </w:rPr>
        <w:t xml:space="preserve">Inhibidores de la enzima convertidora de angiotensina (disminuye su efecto antihipertensivo), aspirina (aumentan los efectos adversos), colestiramina (aumenta la eliminación de meloxicam), furosemida (reducción del efecto diurético), litio (aumenta su concentración), metotrexato (puede aumentar la </w:t>
      </w:r>
      <w:proofErr w:type="spellStart"/>
      <w:r w:rsidRPr="00664817">
        <w:rPr>
          <w:rFonts w:cs="Arial"/>
          <w:color w:val="000000"/>
          <w:shd w:val="clear" w:color="auto" w:fill="FFFFFF"/>
        </w:rPr>
        <w:t>hematotoxicidad</w:t>
      </w:r>
      <w:proofErr w:type="spellEnd"/>
      <w:r w:rsidRPr="00664817">
        <w:rPr>
          <w:rFonts w:cs="Arial"/>
          <w:color w:val="000000"/>
          <w:shd w:val="clear" w:color="auto" w:fill="FFFFFF"/>
        </w:rPr>
        <w:t xml:space="preserve">), </w:t>
      </w:r>
      <w:proofErr w:type="spellStart"/>
      <w:r w:rsidRPr="00664817">
        <w:rPr>
          <w:rFonts w:cs="Arial"/>
          <w:color w:val="000000"/>
          <w:shd w:val="clear" w:color="auto" w:fill="FFFFFF"/>
        </w:rPr>
        <w:t>warfarina</w:t>
      </w:r>
      <w:proofErr w:type="spellEnd"/>
      <w:r w:rsidRPr="00664817">
        <w:rPr>
          <w:rFonts w:cs="Arial"/>
          <w:color w:val="000000"/>
          <w:shd w:val="clear" w:color="auto" w:fill="FFFFFF"/>
        </w:rPr>
        <w:t xml:space="preserve"> (aumenta el riesgo al sangramiento).</w:t>
      </w:r>
      <w:r w:rsidRPr="00664817">
        <w:rPr>
          <w:rFonts w:cs="Arial"/>
        </w:rPr>
        <w:t xml:space="preserve"> </w:t>
      </w:r>
    </w:p>
    <w:p w14:paraId="13F92A80" w14:textId="55BBA75D" w:rsidR="00272643" w:rsidRDefault="00E07E26" w:rsidP="00E34F77">
      <w:pPr>
        <w:pStyle w:val="Textoindependiente"/>
        <w:spacing w:before="200" w:after="120"/>
        <w:ind w:left="426" w:right="284"/>
        <w:jc w:val="both"/>
        <w:outlineLvl w:val="0"/>
        <w:rPr>
          <w:b/>
          <w:sz w:val="22"/>
        </w:rPr>
      </w:pPr>
      <w:r>
        <w:rPr>
          <w:b/>
          <w:sz w:val="22"/>
        </w:rPr>
        <w:t>EFECTOS ADVERSOS:</w:t>
      </w:r>
    </w:p>
    <w:p w14:paraId="2B1927AE" w14:textId="0DBB9784" w:rsidR="004A23F4" w:rsidRPr="00E07E26" w:rsidRDefault="002A5E7D" w:rsidP="004A23F4">
      <w:pPr>
        <w:ind w:left="426"/>
        <w:jc w:val="both"/>
        <w:rPr>
          <w:rFonts w:ascii="Arial" w:eastAsia="Calibri" w:hAnsi="Arial" w:cs="Arial"/>
          <w:lang w:eastAsia="en-US"/>
        </w:rPr>
      </w:pPr>
      <w:r w:rsidRPr="002A5E7D">
        <w:rPr>
          <w:rFonts w:ascii="Arial" w:hAnsi="Arial" w:cs="Arial"/>
          <w:color w:val="000000"/>
          <w:shd w:val="clear" w:color="auto" w:fill="FFFFFF"/>
        </w:rPr>
        <w:t>Los medicamentos pueden producir algunos efectos no deseados además de los que se pretende obtener, que usualmente no requieren atención médica y que desaparecen con el uso (adaptación del organismo al medicamento). </w:t>
      </w:r>
      <w:r w:rsidRPr="002A5E7D">
        <w:rPr>
          <w:rFonts w:ascii="Arial" w:hAnsi="Arial" w:cs="Arial"/>
          <w:bCs/>
          <w:color w:val="000000"/>
          <w:shd w:val="clear" w:color="auto" w:fill="FFFFFF"/>
        </w:rPr>
        <w:t xml:space="preserve">No </w:t>
      </w:r>
      <w:r w:rsidRPr="002A5E7D">
        <w:rPr>
          <w:rFonts w:ascii="Arial" w:hAnsi="Arial" w:cs="Arial"/>
          <w:bCs/>
          <w:color w:val="000000"/>
          <w:shd w:val="clear" w:color="auto" w:fill="FFFFFF"/>
        </w:rPr>
        <w:t>obstante,</w:t>
      </w:r>
      <w:r w:rsidRPr="002A5E7D">
        <w:rPr>
          <w:rFonts w:ascii="Arial" w:hAnsi="Arial" w:cs="Arial"/>
          <w:bCs/>
          <w:color w:val="000000"/>
          <w:shd w:val="clear" w:color="auto" w:fill="FFFFFF"/>
        </w:rPr>
        <w:t xml:space="preserve"> si continúan o se intensifican debe comunicarlo a su médico:</w:t>
      </w:r>
      <w:r w:rsidRPr="002A5E7D">
        <w:rPr>
          <w:rFonts w:ascii="Arial" w:hAnsi="Arial" w:cs="Arial"/>
          <w:color w:val="000000"/>
          <w:shd w:val="clear" w:color="auto" w:fill="FFFFFF"/>
        </w:rPr>
        <w:t xml:space="preserve"> sangramiento o deposiciones negro alquitrán, diarrea, vómitos, dolor abdominal, acidez estomacal, cefaleas, mareos, orina oscura, disminución del vaciamiento de orina, dificultad para respirar, prurito, </w:t>
      </w:r>
      <w:proofErr w:type="spellStart"/>
      <w:r w:rsidRPr="002A5E7D">
        <w:rPr>
          <w:rFonts w:ascii="Arial" w:hAnsi="Arial" w:cs="Arial"/>
          <w:color w:val="000000"/>
          <w:shd w:val="clear" w:color="auto" w:fill="FFFFFF"/>
        </w:rPr>
        <w:t>rash</w:t>
      </w:r>
      <w:proofErr w:type="spellEnd"/>
      <w:r w:rsidRPr="002A5E7D">
        <w:rPr>
          <w:rFonts w:ascii="Arial" w:hAnsi="Arial" w:cs="Arial"/>
          <w:color w:val="000000"/>
          <w:shd w:val="clear" w:color="auto" w:fill="FFFFFF"/>
        </w:rPr>
        <w:t xml:space="preserve"> cutáneo, palpitaciones, hipertensión</w:t>
      </w:r>
      <w:r>
        <w:rPr>
          <w:rFonts w:ascii="Verdana" w:hAnsi="Verdana"/>
          <w:color w:val="000000"/>
          <w:sz w:val="17"/>
          <w:szCs w:val="17"/>
          <w:shd w:val="clear" w:color="auto" w:fill="FFFFFF"/>
        </w:rPr>
        <w:t>.</w:t>
      </w:r>
    </w:p>
    <w:p w14:paraId="6E0BD71D" w14:textId="06538F59" w:rsidR="00272643" w:rsidRPr="001754C4" w:rsidRDefault="001754C4" w:rsidP="00E34F77">
      <w:pPr>
        <w:pStyle w:val="Textoindependiente"/>
        <w:spacing w:before="200" w:after="120"/>
        <w:ind w:left="426" w:right="284"/>
        <w:jc w:val="both"/>
        <w:outlineLvl w:val="0"/>
        <w:rPr>
          <w:b/>
          <w:sz w:val="22"/>
        </w:rPr>
      </w:pPr>
      <w:r w:rsidRPr="001754C4">
        <w:rPr>
          <w:b/>
          <w:sz w:val="22"/>
        </w:rPr>
        <w:lastRenderedPageBreak/>
        <w:t>DOSIS:</w:t>
      </w:r>
    </w:p>
    <w:p w14:paraId="43B40672" w14:textId="5454EB30" w:rsidR="002D0DEF" w:rsidRPr="00EC152B" w:rsidRDefault="00EC152B" w:rsidP="009339FC">
      <w:pPr>
        <w:ind w:left="426" w:right="312"/>
        <w:jc w:val="both"/>
        <w:rPr>
          <w:rFonts w:ascii="Arial" w:eastAsia="Calibri" w:hAnsi="Arial" w:cs="Arial"/>
          <w:lang w:eastAsia="en-US"/>
        </w:rPr>
      </w:pPr>
      <w:r w:rsidRPr="00EC152B">
        <w:rPr>
          <w:rFonts w:ascii="Arial" w:hAnsi="Arial" w:cs="Arial"/>
          <w:color w:val="000000"/>
          <w:shd w:val="clear" w:color="auto" w:fill="FFFFFF"/>
        </w:rPr>
        <w:t>El médico debe indicar la posología y el tiempo de tratamiento apropiados a su caso particular. No obstante, la dosis usual recomendada en adultos es de 7</w:t>
      </w:r>
      <w:r w:rsidR="00D750B2">
        <w:rPr>
          <w:rFonts w:ascii="Arial" w:hAnsi="Arial" w:cs="Arial"/>
          <w:color w:val="000000"/>
          <w:shd w:val="clear" w:color="auto" w:fill="FFFFFF"/>
        </w:rPr>
        <w:t xml:space="preserve">, </w:t>
      </w:r>
      <w:r w:rsidRPr="00EC152B">
        <w:rPr>
          <w:rFonts w:ascii="Arial" w:hAnsi="Arial" w:cs="Arial"/>
          <w:color w:val="000000"/>
          <w:shd w:val="clear" w:color="auto" w:fill="FFFFFF"/>
        </w:rPr>
        <w:t xml:space="preserve">5 </w:t>
      </w:r>
      <w:proofErr w:type="spellStart"/>
      <w:r w:rsidRPr="00EC152B">
        <w:rPr>
          <w:rFonts w:ascii="Arial" w:hAnsi="Arial" w:cs="Arial"/>
          <w:color w:val="000000"/>
          <w:shd w:val="clear" w:color="auto" w:fill="FFFFFF"/>
        </w:rPr>
        <w:t>ó</w:t>
      </w:r>
      <w:bookmarkStart w:id="0" w:name="_GoBack"/>
      <w:bookmarkEnd w:id="0"/>
      <w:proofErr w:type="spellEnd"/>
      <w:r w:rsidRPr="00EC152B">
        <w:rPr>
          <w:rFonts w:ascii="Arial" w:hAnsi="Arial" w:cs="Arial"/>
          <w:color w:val="000000"/>
          <w:shd w:val="clear" w:color="auto" w:fill="FFFFFF"/>
        </w:rPr>
        <w:t xml:space="preserve"> 15 mg 1 vez al </w:t>
      </w:r>
      <w:r w:rsidRPr="00EC152B">
        <w:rPr>
          <w:rFonts w:ascii="Arial" w:hAnsi="Arial" w:cs="Arial"/>
          <w:color w:val="000000"/>
          <w:shd w:val="clear" w:color="auto" w:fill="FFFFFF"/>
        </w:rPr>
        <w:t>día.</w:t>
      </w:r>
      <w:r w:rsidR="004C3F9A" w:rsidRPr="00EC152B">
        <w:rPr>
          <w:rFonts w:ascii="Arial" w:eastAsia="Calibri" w:hAnsi="Arial" w:cs="Arial"/>
          <w:lang w:eastAsia="en-US"/>
        </w:rPr>
        <w:t xml:space="preserve"> </w:t>
      </w:r>
    </w:p>
    <w:p w14:paraId="38FBFA63" w14:textId="794E1622" w:rsidR="00272643" w:rsidRPr="00272643" w:rsidRDefault="001754C4" w:rsidP="00E34F77">
      <w:pPr>
        <w:pStyle w:val="Textoindependiente"/>
        <w:spacing w:before="200" w:after="120"/>
        <w:ind w:left="426" w:right="284"/>
        <w:jc w:val="both"/>
        <w:outlineLvl w:val="0"/>
        <w:rPr>
          <w:b/>
          <w:sz w:val="22"/>
        </w:rPr>
      </w:pPr>
      <w:r w:rsidRPr="00272643">
        <w:rPr>
          <w:b/>
          <w:sz w:val="22"/>
        </w:rPr>
        <w:t>SOBREDOSIS:</w:t>
      </w:r>
    </w:p>
    <w:p w14:paraId="544340EE" w14:textId="32778BAB" w:rsidR="002D0DEF" w:rsidRPr="00EC152B" w:rsidRDefault="00EC152B" w:rsidP="00EC152B">
      <w:pPr>
        <w:ind w:left="426" w:right="312"/>
        <w:jc w:val="both"/>
        <w:rPr>
          <w:rFonts w:ascii="Arial" w:eastAsia="Calibri" w:hAnsi="Arial" w:cs="Arial"/>
          <w:lang w:eastAsia="en-US"/>
        </w:rPr>
      </w:pPr>
      <w:r w:rsidRPr="00EC152B">
        <w:rPr>
          <w:rFonts w:ascii="Arial" w:hAnsi="Arial" w:cs="Arial"/>
          <w:color w:val="000000"/>
          <w:shd w:val="clear" w:color="auto" w:fill="FFFFFF"/>
        </w:rPr>
        <w:t xml:space="preserve">En caso de sobredosis o ingesta accidental se recomienda vaciamiento gástrico y/o tratamiento sintomático. </w:t>
      </w:r>
      <w:r w:rsidRPr="00EC152B">
        <w:rPr>
          <w:rFonts w:ascii="Arial" w:hAnsi="Arial" w:cs="Arial"/>
          <w:color w:val="000000"/>
          <w:shd w:val="clear" w:color="auto" w:fill="FFFFFF"/>
        </w:rPr>
        <w:t xml:space="preserve">No </w:t>
      </w:r>
      <w:r>
        <w:rPr>
          <w:rFonts w:ascii="Arial" w:hAnsi="Arial" w:cs="Arial"/>
          <w:color w:val="000000"/>
          <w:shd w:val="clear" w:color="auto" w:fill="FFFFFF"/>
        </w:rPr>
        <w:t>se</w:t>
      </w:r>
      <w:r w:rsidRPr="00EC152B">
        <w:rPr>
          <w:rFonts w:ascii="Arial" w:hAnsi="Arial" w:cs="Arial"/>
          <w:color w:val="000000"/>
          <w:shd w:val="clear" w:color="auto" w:fill="FFFFFF"/>
        </w:rPr>
        <w:t xml:space="preserve"> conoce ningún antídoto específico. En caso necesario puede acelerarse la eliminación de meloxicam administrando colestiramina cada 8 horas</w:t>
      </w:r>
    </w:p>
    <w:sectPr w:rsidR="002D0DEF" w:rsidRPr="00EC152B" w:rsidSect="0013049B">
      <w:headerReference w:type="default" r:id="rId8"/>
      <w:footerReference w:type="even" r:id="rId9"/>
      <w:footerReference w:type="default" r:id="rId10"/>
      <w:type w:val="continuous"/>
      <w:pgSz w:w="12242" w:h="15842" w:code="1"/>
      <w:pgMar w:top="720" w:right="720" w:bottom="720" w:left="720" w:header="720" w:footer="720" w:gutter="0"/>
      <w:pgBorders>
        <w:top w:val="single" w:sz="4" w:space="1" w:color="auto"/>
        <w:left w:val="single" w:sz="4" w:space="4" w:color="auto"/>
        <w:bottom w:val="single" w:sz="4" w:space="1" w:color="auto"/>
        <w:right w:val="single" w:sz="4" w:space="4" w:color="auto"/>
      </w:pgBorders>
      <w:cols w:space="24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87B88" w14:textId="77777777" w:rsidR="000E3FC7" w:rsidRDefault="000E3FC7" w:rsidP="00810E85">
      <w:r>
        <w:separator/>
      </w:r>
    </w:p>
  </w:endnote>
  <w:endnote w:type="continuationSeparator" w:id="0">
    <w:p w14:paraId="0767EF80" w14:textId="77777777" w:rsidR="000E3FC7" w:rsidRDefault="000E3FC7" w:rsidP="0081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E127" w14:textId="77777777" w:rsidR="002B3750" w:rsidRDefault="002B3750" w:rsidP="005D257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AB5EC0" w14:textId="77777777" w:rsidR="002B3750" w:rsidRDefault="002B3750" w:rsidP="002B375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16D2D" w14:textId="77777777" w:rsidR="002B3750" w:rsidRDefault="002B3750" w:rsidP="0013049B">
    <w:pPr>
      <w:pStyle w:val="Piedepgina"/>
      <w:framePr w:wrap="none" w:vAnchor="text" w:hAnchor="page" w:x="11102" w:y="186"/>
      <w:rPr>
        <w:rStyle w:val="Nmerodepgina"/>
      </w:rPr>
    </w:pPr>
    <w:r>
      <w:rPr>
        <w:rStyle w:val="Nmerodepgina"/>
      </w:rPr>
      <w:fldChar w:fldCharType="begin"/>
    </w:r>
    <w:r>
      <w:rPr>
        <w:rStyle w:val="Nmerodepgina"/>
      </w:rPr>
      <w:instrText xml:space="preserve">PAGE  </w:instrText>
    </w:r>
    <w:r>
      <w:rPr>
        <w:rStyle w:val="Nmerodepgina"/>
      </w:rPr>
      <w:fldChar w:fldCharType="separate"/>
    </w:r>
    <w:r w:rsidR="00AC0826">
      <w:rPr>
        <w:rStyle w:val="Nmerodepgina"/>
        <w:noProof/>
      </w:rPr>
      <w:t>1</w:t>
    </w:r>
    <w:r>
      <w:rPr>
        <w:rStyle w:val="Nmerodepgina"/>
      </w:rPr>
      <w:fldChar w:fldCharType="end"/>
    </w:r>
    <w:r>
      <w:rPr>
        <w:rStyle w:val="Nmerodepgina"/>
      </w:rPr>
      <w:t xml:space="preserve"> de 2</w:t>
    </w:r>
  </w:p>
  <w:p w14:paraId="183611A5" w14:textId="77777777" w:rsidR="002B3750" w:rsidRDefault="002B3750" w:rsidP="0013049B">
    <w:pPr>
      <w:pStyle w:val="Piedepgina"/>
      <w:framePr w:h="1300" w:hRule="exact" w:wrap="auto" w:hAnchor="text" w:y="-350"/>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8134F" w14:textId="77777777" w:rsidR="000E3FC7" w:rsidRDefault="000E3FC7" w:rsidP="00810E85">
      <w:r>
        <w:separator/>
      </w:r>
    </w:p>
  </w:footnote>
  <w:footnote w:type="continuationSeparator" w:id="0">
    <w:p w14:paraId="65C2C3BB" w14:textId="77777777" w:rsidR="000E3FC7" w:rsidRDefault="000E3FC7" w:rsidP="00810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2"/>
      <w:gridCol w:w="8452"/>
    </w:tblGrid>
    <w:tr w:rsidR="002B3750" w14:paraId="5A1FCC43" w14:textId="77777777" w:rsidTr="0013049B">
      <w:trPr>
        <w:trHeight w:val="1500"/>
        <w:jc w:val="center"/>
      </w:trPr>
      <w:tc>
        <w:tcPr>
          <w:tcW w:w="1662" w:type="dxa"/>
          <w:vAlign w:val="center"/>
        </w:tcPr>
        <w:p w14:paraId="1991D04E" w14:textId="7F8386CE" w:rsidR="002B3750" w:rsidRDefault="002B3750" w:rsidP="005E4B2C">
          <w:pPr>
            <w:pStyle w:val="Textoindependiente"/>
            <w:outlineLvl w:val="0"/>
            <w:rPr>
              <w:sz w:val="32"/>
              <w:lang w:val="es-MX"/>
            </w:rPr>
          </w:pPr>
          <w:r>
            <w:rPr>
              <w:noProof/>
              <w:lang w:val="es-ES_tradnl" w:eastAsia="es-ES_tradnl"/>
            </w:rPr>
            <w:drawing>
              <wp:inline distT="0" distB="0" distL="0" distR="0" wp14:anchorId="442A9C40" wp14:editId="31B9197E">
                <wp:extent cx="838800" cy="846000"/>
                <wp:effectExtent l="0" t="0" r="0" b="0"/>
                <wp:docPr id="9" name="Imagen 1" descr="LOGOTIPO MINTLAB 2010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 MINTLAB 2010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846000"/>
                        </a:xfrm>
                        <a:prstGeom prst="rect">
                          <a:avLst/>
                        </a:prstGeom>
                        <a:noFill/>
                        <a:ln>
                          <a:noFill/>
                        </a:ln>
                      </pic:spPr>
                    </pic:pic>
                  </a:graphicData>
                </a:graphic>
              </wp:inline>
            </w:drawing>
          </w:r>
        </w:p>
      </w:tc>
      <w:tc>
        <w:tcPr>
          <w:tcW w:w="8452" w:type="dxa"/>
          <w:vAlign w:val="center"/>
        </w:tcPr>
        <w:p w14:paraId="7FC59631" w14:textId="161F6C75" w:rsidR="002B3750" w:rsidRDefault="00A77F1A" w:rsidP="005E4B2C">
          <w:pPr>
            <w:pStyle w:val="Textoindependiente"/>
            <w:outlineLvl w:val="0"/>
            <w:rPr>
              <w:sz w:val="32"/>
              <w:lang w:val="es-MX"/>
            </w:rPr>
          </w:pPr>
          <w:r>
            <w:rPr>
              <w:sz w:val="32"/>
              <w:lang w:val="es-MX"/>
            </w:rPr>
            <w:t xml:space="preserve">MELOXICAM </w:t>
          </w:r>
          <w:r w:rsidR="00D52C0A">
            <w:rPr>
              <w:sz w:val="32"/>
              <w:lang w:val="es-MX"/>
            </w:rPr>
            <w:t>COMPRIMIDOS</w:t>
          </w:r>
          <w:r w:rsidR="00D52C0A">
            <w:rPr>
              <w:sz w:val="32"/>
              <w:lang w:val="es-MX"/>
            </w:rPr>
            <w:t xml:space="preserve"> </w:t>
          </w:r>
          <w:r>
            <w:rPr>
              <w:sz w:val="32"/>
              <w:lang w:val="es-MX"/>
            </w:rPr>
            <w:t>15</w:t>
          </w:r>
          <w:r w:rsidR="00CF368E">
            <w:rPr>
              <w:sz w:val="32"/>
              <w:lang w:val="es-MX"/>
            </w:rPr>
            <w:t xml:space="preserve"> MG</w:t>
          </w:r>
          <w:r>
            <w:rPr>
              <w:sz w:val="32"/>
              <w:lang w:val="es-MX"/>
            </w:rPr>
            <w:t xml:space="preserve"> </w:t>
          </w:r>
        </w:p>
      </w:tc>
    </w:tr>
  </w:tbl>
  <w:p w14:paraId="10EC06ED" w14:textId="77777777" w:rsidR="002B3750" w:rsidRPr="002B3750" w:rsidRDefault="002B3750">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35733"/>
    <w:multiLevelType w:val="hybridMultilevel"/>
    <w:tmpl w:val="265C04B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A380636"/>
    <w:multiLevelType w:val="hybridMultilevel"/>
    <w:tmpl w:val="C9FC3F08"/>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 w15:restartNumberingAfterBreak="0">
    <w:nsid w:val="1D1864C7"/>
    <w:multiLevelType w:val="singleLevel"/>
    <w:tmpl w:val="E5D25B30"/>
    <w:lvl w:ilvl="0">
      <w:start w:val="7"/>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E5A148F"/>
    <w:multiLevelType w:val="singleLevel"/>
    <w:tmpl w:val="A78C31EA"/>
    <w:lvl w:ilvl="0">
      <w:start w:val="1"/>
      <w:numFmt w:val="bullet"/>
      <w:lvlText w:val="-"/>
      <w:lvlJc w:val="left"/>
      <w:pPr>
        <w:tabs>
          <w:tab w:val="num" w:pos="720"/>
        </w:tabs>
        <w:ind w:left="720" w:hanging="360"/>
      </w:pPr>
      <w:rPr>
        <w:rFonts w:ascii="Times New Roman" w:hAnsi="Times New Roman" w:hint="default"/>
        <w:b w:val="0"/>
      </w:rPr>
    </w:lvl>
  </w:abstractNum>
  <w:abstractNum w:abstractNumId="4" w15:restartNumberingAfterBreak="0">
    <w:nsid w:val="221C399D"/>
    <w:multiLevelType w:val="singleLevel"/>
    <w:tmpl w:val="EE76BF20"/>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6250099"/>
    <w:multiLevelType w:val="hybridMultilevel"/>
    <w:tmpl w:val="40509E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6" w15:restartNumberingAfterBreak="0">
    <w:nsid w:val="2D2F208B"/>
    <w:multiLevelType w:val="singleLevel"/>
    <w:tmpl w:val="6E2C1618"/>
    <w:lvl w:ilvl="0">
      <w:start w:val="2"/>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9E66DB8"/>
    <w:multiLevelType w:val="hybridMultilevel"/>
    <w:tmpl w:val="42286A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C303D77"/>
    <w:multiLevelType w:val="hybridMultilevel"/>
    <w:tmpl w:val="991679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EBA4AE4"/>
    <w:multiLevelType w:val="hybridMultilevel"/>
    <w:tmpl w:val="879CDA3C"/>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0" w15:restartNumberingAfterBreak="0">
    <w:nsid w:val="67D8040A"/>
    <w:multiLevelType w:val="singleLevel"/>
    <w:tmpl w:val="4AD8CF72"/>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6B0D171B"/>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6D2E5536"/>
    <w:multiLevelType w:val="singleLevel"/>
    <w:tmpl w:val="5D4CC25E"/>
    <w:lvl w:ilvl="0">
      <w:start w:val="7"/>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72D659B5"/>
    <w:multiLevelType w:val="singleLevel"/>
    <w:tmpl w:val="70F00C04"/>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7457002A"/>
    <w:multiLevelType w:val="singleLevel"/>
    <w:tmpl w:val="E6FC0E0A"/>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76EF0CF8"/>
    <w:multiLevelType w:val="hybridMultilevel"/>
    <w:tmpl w:val="91E4778E"/>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num w:numId="1">
    <w:abstractNumId w:val="4"/>
  </w:num>
  <w:num w:numId="2">
    <w:abstractNumId w:val="10"/>
  </w:num>
  <w:num w:numId="3">
    <w:abstractNumId w:val="13"/>
  </w:num>
  <w:num w:numId="4">
    <w:abstractNumId w:val="3"/>
  </w:num>
  <w:num w:numId="5">
    <w:abstractNumId w:val="11"/>
  </w:num>
  <w:num w:numId="6">
    <w:abstractNumId w:val="12"/>
  </w:num>
  <w:num w:numId="7">
    <w:abstractNumId w:val="2"/>
  </w:num>
  <w:num w:numId="8">
    <w:abstractNumId w:val="14"/>
  </w:num>
  <w:num w:numId="9">
    <w:abstractNumId w:val="6"/>
  </w:num>
  <w:num w:numId="10">
    <w:abstractNumId w:val="8"/>
  </w:num>
  <w:num w:numId="11">
    <w:abstractNumId w:val="7"/>
  </w:num>
  <w:num w:numId="12">
    <w:abstractNumId w:val="0"/>
  </w:num>
  <w:num w:numId="13">
    <w:abstractNumId w:val="9"/>
  </w:num>
  <w:num w:numId="14">
    <w:abstractNumId w:val="5"/>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1D"/>
    <w:rsid w:val="00096EE1"/>
    <w:rsid w:val="000B68ED"/>
    <w:rsid w:val="000E2D0C"/>
    <w:rsid w:val="000E3FC7"/>
    <w:rsid w:val="00114B2C"/>
    <w:rsid w:val="001231E5"/>
    <w:rsid w:val="0013049B"/>
    <w:rsid w:val="001559F4"/>
    <w:rsid w:val="00163224"/>
    <w:rsid w:val="00170437"/>
    <w:rsid w:val="00174419"/>
    <w:rsid w:val="001754C4"/>
    <w:rsid w:val="001763CC"/>
    <w:rsid w:val="00193002"/>
    <w:rsid w:val="001E0527"/>
    <w:rsid w:val="001F36C9"/>
    <w:rsid w:val="00211084"/>
    <w:rsid w:val="00220D29"/>
    <w:rsid w:val="00272643"/>
    <w:rsid w:val="002A5E7D"/>
    <w:rsid w:val="002B0A70"/>
    <w:rsid w:val="002B3750"/>
    <w:rsid w:val="002D05C3"/>
    <w:rsid w:val="002D0DEF"/>
    <w:rsid w:val="002F6A45"/>
    <w:rsid w:val="00305826"/>
    <w:rsid w:val="00311AC8"/>
    <w:rsid w:val="00315A7E"/>
    <w:rsid w:val="00346F8F"/>
    <w:rsid w:val="00356133"/>
    <w:rsid w:val="00383C37"/>
    <w:rsid w:val="003B7673"/>
    <w:rsid w:val="00410DB6"/>
    <w:rsid w:val="004A23F4"/>
    <w:rsid w:val="004C1898"/>
    <w:rsid w:val="004C3F9A"/>
    <w:rsid w:val="0050380D"/>
    <w:rsid w:val="0050693C"/>
    <w:rsid w:val="00515171"/>
    <w:rsid w:val="00555EC9"/>
    <w:rsid w:val="00623A1A"/>
    <w:rsid w:val="00641B8A"/>
    <w:rsid w:val="00661429"/>
    <w:rsid w:val="00664817"/>
    <w:rsid w:val="00670C73"/>
    <w:rsid w:val="00674A2C"/>
    <w:rsid w:val="0068721D"/>
    <w:rsid w:val="006C67E3"/>
    <w:rsid w:val="006E607A"/>
    <w:rsid w:val="00724B6E"/>
    <w:rsid w:val="007430BE"/>
    <w:rsid w:val="007514A8"/>
    <w:rsid w:val="007675A4"/>
    <w:rsid w:val="007909D7"/>
    <w:rsid w:val="0079670F"/>
    <w:rsid w:val="007C7855"/>
    <w:rsid w:val="007E6F2C"/>
    <w:rsid w:val="0080514B"/>
    <w:rsid w:val="00810E85"/>
    <w:rsid w:val="00816127"/>
    <w:rsid w:val="00825689"/>
    <w:rsid w:val="00831464"/>
    <w:rsid w:val="00864EE4"/>
    <w:rsid w:val="00867581"/>
    <w:rsid w:val="00873982"/>
    <w:rsid w:val="008821C9"/>
    <w:rsid w:val="008B2795"/>
    <w:rsid w:val="00920C2E"/>
    <w:rsid w:val="009339FC"/>
    <w:rsid w:val="00943844"/>
    <w:rsid w:val="009B4387"/>
    <w:rsid w:val="009C7C16"/>
    <w:rsid w:val="009D2111"/>
    <w:rsid w:val="009E4FC5"/>
    <w:rsid w:val="00A07757"/>
    <w:rsid w:val="00A150C9"/>
    <w:rsid w:val="00A2118C"/>
    <w:rsid w:val="00A2581B"/>
    <w:rsid w:val="00A62AEE"/>
    <w:rsid w:val="00A644EE"/>
    <w:rsid w:val="00A77F1A"/>
    <w:rsid w:val="00AC0826"/>
    <w:rsid w:val="00AD1D04"/>
    <w:rsid w:val="00AD6817"/>
    <w:rsid w:val="00B32BD8"/>
    <w:rsid w:val="00B464F3"/>
    <w:rsid w:val="00B5130D"/>
    <w:rsid w:val="00BD4206"/>
    <w:rsid w:val="00C26E59"/>
    <w:rsid w:val="00C66440"/>
    <w:rsid w:val="00C72A7B"/>
    <w:rsid w:val="00CA6C60"/>
    <w:rsid w:val="00CB1A08"/>
    <w:rsid w:val="00CE48AC"/>
    <w:rsid w:val="00CE6A84"/>
    <w:rsid w:val="00CF368E"/>
    <w:rsid w:val="00D30910"/>
    <w:rsid w:val="00D36B40"/>
    <w:rsid w:val="00D52C0A"/>
    <w:rsid w:val="00D750B2"/>
    <w:rsid w:val="00D909A0"/>
    <w:rsid w:val="00DB798B"/>
    <w:rsid w:val="00DE4E65"/>
    <w:rsid w:val="00E07E26"/>
    <w:rsid w:val="00E34F77"/>
    <w:rsid w:val="00E422DC"/>
    <w:rsid w:val="00E66673"/>
    <w:rsid w:val="00EC152B"/>
    <w:rsid w:val="00ED1B89"/>
    <w:rsid w:val="00F0306E"/>
    <w:rsid w:val="00F31BE3"/>
    <w:rsid w:val="00F56C22"/>
    <w:rsid w:val="00F6376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DB0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both"/>
      <w:outlineLvl w:val="0"/>
    </w:pPr>
    <w:rPr>
      <w:rFonts w:ascii="Arial" w:hAnsi="Arial"/>
      <w:b/>
      <w:sz w:val="24"/>
      <w:lang w:val="es-ES_tradnl"/>
    </w:rPr>
  </w:style>
  <w:style w:type="paragraph" w:styleId="Ttulo2">
    <w:name w:val="heading 2"/>
    <w:basedOn w:val="Normal"/>
    <w:next w:val="Normal"/>
    <w:qFormat/>
    <w:pPr>
      <w:keepNext/>
      <w:jc w:val="both"/>
      <w:outlineLvl w:val="1"/>
    </w:pPr>
    <w:rPr>
      <w:rFonts w:ascii="Arial" w:hAnsi="Arial"/>
      <w:b/>
      <w:sz w:val="16"/>
    </w:rPr>
  </w:style>
  <w:style w:type="paragraph" w:styleId="Ttulo4">
    <w:name w:val="heading 4"/>
    <w:basedOn w:val="Normal"/>
    <w:next w:val="Normal"/>
    <w:qFormat/>
    <w:pPr>
      <w:keepNext/>
      <w:ind w:left="709"/>
      <w:jc w:val="both"/>
      <w:outlineLvl w:val="3"/>
    </w:pPr>
    <w:rPr>
      <w:b/>
      <w:sz w:val="24"/>
      <w:lang w:val="es-ES_tradnl"/>
    </w:rPr>
  </w:style>
  <w:style w:type="paragraph" w:styleId="Ttulo5">
    <w:name w:val="heading 5"/>
    <w:basedOn w:val="Normal"/>
    <w:next w:val="Normal"/>
    <w:qFormat/>
    <w:pPr>
      <w:keepNext/>
      <w:ind w:left="709"/>
      <w:outlineLvl w:val="4"/>
    </w:pPr>
    <w:rPr>
      <w:b/>
      <w:sz w:val="24"/>
      <w:lang w:val="es-ES_tradnl"/>
    </w:rPr>
  </w:style>
  <w:style w:type="paragraph" w:styleId="Ttulo6">
    <w:name w:val="heading 6"/>
    <w:basedOn w:val="Normal"/>
    <w:next w:val="Normal"/>
    <w:qFormat/>
    <w:pPr>
      <w:keepNext/>
      <w:ind w:left="709"/>
      <w:outlineLvl w:val="5"/>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b/>
      <w:sz w:val="24"/>
      <w:lang w:val="es-ES_tradnl"/>
    </w:rPr>
  </w:style>
  <w:style w:type="paragraph" w:styleId="Textoindependiente">
    <w:name w:val="Body Text"/>
    <w:basedOn w:val="Normal"/>
    <w:pPr>
      <w:jc w:val="center"/>
    </w:pPr>
    <w:rPr>
      <w:rFonts w:ascii="Arial" w:hAnsi="Arial"/>
    </w:rPr>
  </w:style>
  <w:style w:type="paragraph" w:styleId="Textoindependiente2">
    <w:name w:val="Body Text 2"/>
    <w:basedOn w:val="Normal"/>
    <w:pPr>
      <w:jc w:val="both"/>
    </w:pPr>
    <w:rPr>
      <w:rFonts w:ascii="Arial" w:hAnsi="Arial"/>
    </w:rPr>
  </w:style>
  <w:style w:type="paragraph" w:styleId="Textoindependiente3">
    <w:name w:val="Body Text 3"/>
    <w:basedOn w:val="Normal"/>
    <w:pPr>
      <w:jc w:val="both"/>
    </w:pPr>
    <w:rPr>
      <w:rFonts w:ascii="Arial" w:hAnsi="Arial"/>
      <w:sz w:val="18"/>
    </w:rPr>
  </w:style>
  <w:style w:type="paragraph" w:styleId="Sangradetextonormal">
    <w:name w:val="Body Text Indent"/>
    <w:basedOn w:val="Normal"/>
    <w:pPr>
      <w:tabs>
        <w:tab w:val="left" w:pos="142"/>
      </w:tabs>
      <w:ind w:left="142" w:hanging="142"/>
      <w:jc w:val="both"/>
    </w:pPr>
    <w:rPr>
      <w:rFonts w:ascii="Arial" w:hAnsi="Arial"/>
      <w:sz w:val="16"/>
    </w:rPr>
  </w:style>
  <w:style w:type="paragraph" w:styleId="Sangra2detindependiente">
    <w:name w:val="Body Text Indent 2"/>
    <w:basedOn w:val="Normal"/>
    <w:pPr>
      <w:keepNext/>
      <w:ind w:left="709"/>
      <w:jc w:val="both"/>
    </w:pPr>
    <w:rPr>
      <w:color w:val="FF0000"/>
      <w:sz w:val="24"/>
      <w:lang w:val="es-ES_tradnl"/>
    </w:rPr>
  </w:style>
  <w:style w:type="paragraph" w:styleId="Subttulo">
    <w:name w:val="Subtitle"/>
    <w:basedOn w:val="Normal"/>
    <w:qFormat/>
    <w:pPr>
      <w:ind w:left="709"/>
      <w:jc w:val="center"/>
    </w:pPr>
    <w:rPr>
      <w:rFonts w:ascii="Arial Narrow" w:hAnsi="Arial Narrow"/>
      <w:b/>
      <w:w w:val="135"/>
      <w:sz w:val="24"/>
    </w:rPr>
  </w:style>
  <w:style w:type="paragraph" w:styleId="Prrafodelista">
    <w:name w:val="List Paragraph"/>
    <w:basedOn w:val="Normal"/>
    <w:uiPriority w:val="34"/>
    <w:qFormat/>
    <w:rsid w:val="001754C4"/>
    <w:pPr>
      <w:spacing w:after="200" w:line="276" w:lineRule="auto"/>
      <w:ind w:left="720"/>
      <w:contextualSpacing/>
    </w:pPr>
    <w:rPr>
      <w:rFonts w:ascii="Calibri" w:eastAsia="Calibri" w:hAnsi="Calibri"/>
      <w:sz w:val="22"/>
      <w:szCs w:val="22"/>
      <w:lang w:val="es-CL" w:eastAsia="en-US"/>
    </w:rPr>
  </w:style>
  <w:style w:type="paragraph" w:styleId="Encabezado">
    <w:name w:val="header"/>
    <w:basedOn w:val="Normal"/>
    <w:link w:val="EncabezadoCar"/>
    <w:rsid w:val="00810E85"/>
    <w:pPr>
      <w:tabs>
        <w:tab w:val="center" w:pos="4419"/>
        <w:tab w:val="right" w:pos="8838"/>
      </w:tabs>
    </w:pPr>
  </w:style>
  <w:style w:type="character" w:customStyle="1" w:styleId="EncabezadoCar">
    <w:name w:val="Encabezado Car"/>
    <w:link w:val="Encabezado"/>
    <w:rsid w:val="00810E85"/>
    <w:rPr>
      <w:lang w:val="es-ES" w:eastAsia="es-ES"/>
    </w:rPr>
  </w:style>
  <w:style w:type="paragraph" w:styleId="Piedepgina">
    <w:name w:val="footer"/>
    <w:basedOn w:val="Normal"/>
    <w:link w:val="PiedepginaCar"/>
    <w:rsid w:val="00810E85"/>
    <w:pPr>
      <w:tabs>
        <w:tab w:val="center" w:pos="4419"/>
        <w:tab w:val="right" w:pos="8838"/>
      </w:tabs>
    </w:pPr>
  </w:style>
  <w:style w:type="character" w:customStyle="1" w:styleId="PiedepginaCar">
    <w:name w:val="Pie de página Car"/>
    <w:link w:val="Piedepgina"/>
    <w:rsid w:val="00810E85"/>
    <w:rPr>
      <w:lang w:val="es-ES" w:eastAsia="es-ES"/>
    </w:rPr>
  </w:style>
  <w:style w:type="table" w:styleId="Tablaconcuadrcula">
    <w:name w:val="Table Grid"/>
    <w:basedOn w:val="Tablanormal"/>
    <w:rsid w:val="008B2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B3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8444-61B5-4C4A-B218-F92EF31C9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527</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FOLLETO DE INFORMACION AL PACIENTE</vt:lpstr>
    </vt:vector>
  </TitlesOfParts>
  <Company>Mintlab Co</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FOLLETO DE INFORMACION AL PACIENTE</dc:title>
  <dc:subject/>
  <dc:creator>Mintlab</dc:creator>
  <cp:keywords/>
  <cp:lastModifiedBy>Mariangeli Castellano Suárez</cp:lastModifiedBy>
  <cp:revision>122</cp:revision>
  <cp:lastPrinted>2017-12-26T03:32:00Z</cp:lastPrinted>
  <dcterms:created xsi:type="dcterms:W3CDTF">2018-08-28T18:38:00Z</dcterms:created>
  <dcterms:modified xsi:type="dcterms:W3CDTF">2019-01-23T18:22:00Z</dcterms:modified>
</cp:coreProperties>
</file>