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0F3" w:rsidRPr="00890B91" w:rsidRDefault="002870F3" w:rsidP="002870F3">
      <w:pPr>
        <w:suppressAutoHyphens/>
        <w:jc w:val="center"/>
        <w:rPr>
          <w:rFonts w:ascii="Times New Roman" w:hAnsi="Times New Roman"/>
          <w:b/>
          <w:spacing w:val="-2"/>
          <w:u w:val="single"/>
        </w:rPr>
      </w:pPr>
      <w:r w:rsidRPr="00890B91">
        <w:rPr>
          <w:rFonts w:ascii="Times New Roman" w:hAnsi="Times New Roman"/>
          <w:b/>
          <w:spacing w:val="-2"/>
          <w:u w:val="single"/>
        </w:rPr>
        <w:t>FOLLETO DE INFORMACI</w:t>
      </w:r>
      <w:r>
        <w:rPr>
          <w:rFonts w:ascii="Times New Roman" w:hAnsi="Times New Roman"/>
          <w:b/>
          <w:spacing w:val="-2"/>
          <w:u w:val="single"/>
        </w:rPr>
        <w:t>Ó</w:t>
      </w:r>
      <w:r w:rsidRPr="00890B91">
        <w:rPr>
          <w:rFonts w:ascii="Times New Roman" w:hAnsi="Times New Roman"/>
          <w:b/>
          <w:spacing w:val="-2"/>
          <w:u w:val="single"/>
        </w:rPr>
        <w:t>N AL PROFESIONAL</w:t>
      </w:r>
    </w:p>
    <w:p w:rsidR="002870F3" w:rsidRPr="00890B91" w:rsidRDefault="002870F3" w:rsidP="002870F3">
      <w:pPr>
        <w:suppressAutoHyphens/>
        <w:jc w:val="center"/>
        <w:rPr>
          <w:rFonts w:ascii="Times New Roman" w:hAnsi="Times New Roman"/>
          <w:b/>
          <w:spacing w:val="-2"/>
          <w:u w:val="single"/>
        </w:rPr>
      </w:pPr>
    </w:p>
    <w:p w:rsidR="002870F3" w:rsidRPr="0048645B" w:rsidRDefault="002870F3" w:rsidP="002870F3">
      <w:pPr>
        <w:suppressAutoHyphens/>
        <w:jc w:val="center"/>
        <w:rPr>
          <w:rFonts w:ascii="Times New Roman" w:hAnsi="Times New Roman"/>
          <w:b/>
          <w:u w:val="single"/>
        </w:rPr>
      </w:pPr>
      <w:r w:rsidRPr="0048645B">
        <w:rPr>
          <w:rFonts w:ascii="Times New Roman" w:hAnsi="Times New Roman"/>
          <w:b/>
          <w:u w:val="single"/>
        </w:rPr>
        <w:t xml:space="preserve">FIBROLOW </w:t>
      </w:r>
      <w:r w:rsidRPr="0048645B">
        <w:rPr>
          <w:rFonts w:ascii="Times New Roman" w:hAnsi="Times New Roman"/>
          <w:b/>
          <w:szCs w:val="24"/>
          <w:u w:val="single"/>
        </w:rPr>
        <w:t xml:space="preserve">LIDOSE </w:t>
      </w:r>
      <w:r w:rsidRPr="0048645B">
        <w:rPr>
          <w:rFonts w:ascii="Times New Roman" w:hAnsi="Times New Roman"/>
          <w:b/>
          <w:u w:val="single"/>
        </w:rPr>
        <w:t>CÁPSULAS</w:t>
      </w:r>
    </w:p>
    <w:p w:rsidR="002870F3" w:rsidRPr="00890B91" w:rsidRDefault="002870F3" w:rsidP="002870F3">
      <w:pPr>
        <w:suppressAutoHyphens/>
        <w:jc w:val="center"/>
        <w:rPr>
          <w:rFonts w:ascii="Times New Roman" w:hAnsi="Times New Roman"/>
          <w:b/>
          <w:spacing w:val="-2"/>
        </w:rPr>
      </w:pPr>
    </w:p>
    <w:p w:rsidR="002870F3" w:rsidRPr="00890B91" w:rsidRDefault="002870F3" w:rsidP="002870F3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2"/>
        </w:rPr>
      </w:pPr>
    </w:p>
    <w:p w:rsidR="002870F3" w:rsidRPr="00890B91" w:rsidRDefault="002870F3" w:rsidP="002870F3">
      <w:pPr>
        <w:ind w:left="567" w:hanging="567"/>
        <w:jc w:val="both"/>
        <w:rPr>
          <w:rFonts w:ascii="Times New Roman" w:hAnsi="Times New Roman"/>
          <w:b/>
        </w:rPr>
      </w:pPr>
      <w:r w:rsidRPr="00890B91">
        <w:rPr>
          <w:rFonts w:ascii="Times New Roman" w:hAnsi="Times New Roman"/>
          <w:b/>
        </w:rPr>
        <w:t>COMPOSICIÓN</w:t>
      </w:r>
    </w:p>
    <w:p w:rsidR="002870F3" w:rsidRDefault="002870F3" w:rsidP="002870F3">
      <w:pPr>
        <w:jc w:val="both"/>
        <w:rPr>
          <w:rFonts w:ascii="Times New Roman" w:hAnsi="Times New Roman"/>
          <w:lang w:val="es-CL"/>
        </w:rPr>
      </w:pPr>
      <w:r>
        <w:rPr>
          <w:rFonts w:ascii="Times New Roman" w:hAnsi="Times New Roman"/>
          <w:lang w:val="es-CL"/>
        </w:rPr>
        <w:t>Cada cápsula contiene:</w:t>
      </w:r>
    </w:p>
    <w:p w:rsidR="002870F3" w:rsidRDefault="002870F3" w:rsidP="002870F3">
      <w:pPr>
        <w:jc w:val="both"/>
        <w:rPr>
          <w:rFonts w:ascii="Times New Roman" w:hAnsi="Times New Roman"/>
          <w:lang w:val="es-CL"/>
        </w:rPr>
      </w:pPr>
      <w:proofErr w:type="spellStart"/>
      <w:r>
        <w:rPr>
          <w:rFonts w:ascii="Times New Roman" w:hAnsi="Times New Roman"/>
          <w:lang w:val="es-CL"/>
        </w:rPr>
        <w:t>Fenofibrato</w:t>
      </w:r>
      <w:proofErr w:type="spellEnd"/>
      <w:r>
        <w:rPr>
          <w:rFonts w:ascii="Times New Roman" w:hAnsi="Times New Roman"/>
          <w:lang w:val="es-CL"/>
        </w:rPr>
        <w:t xml:space="preserve">                                                 160   mg.</w:t>
      </w:r>
    </w:p>
    <w:p w:rsidR="002870F3" w:rsidRPr="00AA74DA" w:rsidRDefault="002870F3" w:rsidP="002870F3">
      <w:pPr>
        <w:jc w:val="both"/>
        <w:rPr>
          <w:rFonts w:ascii="Times New Roman" w:hAnsi="Times New Roman"/>
          <w:lang w:val="es-CL"/>
        </w:rPr>
      </w:pPr>
      <w:r>
        <w:rPr>
          <w:rFonts w:ascii="Times New Roman" w:hAnsi="Times New Roman"/>
          <w:lang w:val="es-CL"/>
        </w:rPr>
        <w:t xml:space="preserve">Excipientes: </w:t>
      </w:r>
    </w:p>
    <w:p w:rsidR="002870F3" w:rsidRPr="002F7554" w:rsidRDefault="002870F3" w:rsidP="002870F3">
      <w:pPr>
        <w:jc w:val="both"/>
        <w:rPr>
          <w:rFonts w:ascii="Times New Roman" w:hAnsi="Times New Roman"/>
          <w:lang w:val="es-CL"/>
        </w:rPr>
      </w:pPr>
      <w:proofErr w:type="spellStart"/>
      <w:r w:rsidRPr="00AA74DA">
        <w:rPr>
          <w:rFonts w:ascii="Times New Roman" w:hAnsi="Times New Roman"/>
          <w:lang w:val="es-CL"/>
        </w:rPr>
        <w:t>Lauril</w:t>
      </w:r>
      <w:proofErr w:type="spellEnd"/>
      <w:r w:rsidRPr="00AA74DA">
        <w:rPr>
          <w:rFonts w:ascii="Times New Roman" w:hAnsi="Times New Roman"/>
          <w:lang w:val="es-CL"/>
        </w:rPr>
        <w:t xml:space="preserve"> </w:t>
      </w:r>
      <w:proofErr w:type="spellStart"/>
      <w:r w:rsidRPr="00AA74DA">
        <w:rPr>
          <w:rFonts w:ascii="Times New Roman" w:hAnsi="Times New Roman"/>
          <w:lang w:val="es-CL"/>
        </w:rPr>
        <w:t>macrogolglicéridos</w:t>
      </w:r>
      <w:proofErr w:type="spellEnd"/>
      <w:r w:rsidRPr="00AA74DA">
        <w:rPr>
          <w:rFonts w:ascii="Times New Roman" w:hAnsi="Times New Roman"/>
          <w:lang w:val="es-CL"/>
        </w:rPr>
        <w:t xml:space="preserve">, </w:t>
      </w:r>
      <w:proofErr w:type="spellStart"/>
      <w:r w:rsidRPr="00AA74DA">
        <w:rPr>
          <w:rFonts w:ascii="Times New Roman" w:hAnsi="Times New Roman"/>
          <w:lang w:val="es-CL"/>
        </w:rPr>
        <w:t>macrogol</w:t>
      </w:r>
      <w:proofErr w:type="spellEnd"/>
      <w:r w:rsidRPr="00AA74DA">
        <w:rPr>
          <w:rFonts w:ascii="Times New Roman" w:hAnsi="Times New Roman"/>
          <w:lang w:val="es-CL"/>
        </w:rPr>
        <w:t xml:space="preserve"> 20.000, </w:t>
      </w:r>
      <w:proofErr w:type="spellStart"/>
      <w:r>
        <w:rPr>
          <w:rFonts w:ascii="Times New Roman" w:hAnsi="Times New Roman"/>
          <w:lang w:val="es-CL"/>
        </w:rPr>
        <w:t>hiprolosa</w:t>
      </w:r>
      <w:proofErr w:type="spellEnd"/>
      <w:r w:rsidRPr="00AA74DA">
        <w:rPr>
          <w:rFonts w:ascii="Times New Roman" w:hAnsi="Times New Roman"/>
          <w:lang w:val="es-CL"/>
        </w:rPr>
        <w:t xml:space="preserve">, almidón </w:t>
      </w:r>
      <w:proofErr w:type="spellStart"/>
      <w:r w:rsidRPr="00AA74DA">
        <w:rPr>
          <w:rFonts w:ascii="Times New Roman" w:hAnsi="Times New Roman"/>
          <w:lang w:val="es-CL"/>
        </w:rPr>
        <w:t>glicolato</w:t>
      </w:r>
      <w:proofErr w:type="spellEnd"/>
      <w:r w:rsidRPr="00AA74DA">
        <w:rPr>
          <w:rFonts w:ascii="Times New Roman" w:hAnsi="Times New Roman"/>
          <w:lang w:val="es-CL"/>
        </w:rPr>
        <w:t xml:space="preserve"> de sodio</w:t>
      </w:r>
      <w:r>
        <w:rPr>
          <w:rFonts w:ascii="Times New Roman" w:hAnsi="Times New Roman"/>
          <w:lang w:val="es-CL"/>
        </w:rPr>
        <w:t xml:space="preserve">, gelatina, óxido de hierro negro, óxido de hierro amarillo, dióxido de titanio, colorante azul FD&amp;C N°2, óxido de hierro rojo, </w:t>
      </w:r>
      <w:proofErr w:type="spellStart"/>
      <w:r>
        <w:rPr>
          <w:rFonts w:ascii="Times New Roman" w:hAnsi="Times New Roman"/>
          <w:lang w:val="es-CL"/>
        </w:rPr>
        <w:t>c.s</w:t>
      </w:r>
      <w:proofErr w:type="spellEnd"/>
      <w:r w:rsidRPr="00AA74DA">
        <w:rPr>
          <w:rFonts w:ascii="Times New Roman" w:hAnsi="Times New Roman"/>
          <w:lang w:val="es-CL"/>
        </w:rPr>
        <w:t>.</w:t>
      </w:r>
    </w:p>
    <w:p w:rsidR="002870F3" w:rsidRDefault="002870F3" w:rsidP="002870F3">
      <w:pPr>
        <w:jc w:val="both"/>
        <w:rPr>
          <w:rFonts w:ascii="Times New Roman" w:hAnsi="Times New Roman"/>
          <w:szCs w:val="24"/>
        </w:rPr>
      </w:pPr>
    </w:p>
    <w:p w:rsidR="002870F3" w:rsidRDefault="002870F3" w:rsidP="002870F3">
      <w:pPr>
        <w:jc w:val="both"/>
        <w:rPr>
          <w:rFonts w:ascii="Times New Roman" w:hAnsi="Times New Roman"/>
          <w:lang w:val="es-CL"/>
        </w:rPr>
      </w:pPr>
      <w:r>
        <w:rPr>
          <w:rFonts w:ascii="Times New Roman" w:hAnsi="Times New Roman"/>
          <w:lang w:val="es-CL"/>
        </w:rPr>
        <w:t>Cada cápsula contiene:</w:t>
      </w:r>
    </w:p>
    <w:p w:rsidR="002870F3" w:rsidRDefault="002870F3" w:rsidP="002870F3">
      <w:pPr>
        <w:jc w:val="both"/>
        <w:rPr>
          <w:rFonts w:ascii="Times New Roman" w:hAnsi="Times New Roman"/>
          <w:lang w:val="es-CL"/>
        </w:rPr>
      </w:pPr>
      <w:proofErr w:type="spellStart"/>
      <w:r>
        <w:rPr>
          <w:rFonts w:ascii="Times New Roman" w:hAnsi="Times New Roman"/>
          <w:lang w:val="es-CL"/>
        </w:rPr>
        <w:t>Fenofibrato</w:t>
      </w:r>
      <w:proofErr w:type="spellEnd"/>
      <w:r>
        <w:rPr>
          <w:rFonts w:ascii="Times New Roman" w:hAnsi="Times New Roman"/>
          <w:lang w:val="es-CL"/>
        </w:rPr>
        <w:t xml:space="preserve">                                                 200   mg.</w:t>
      </w:r>
    </w:p>
    <w:p w:rsidR="002870F3" w:rsidRDefault="002870F3" w:rsidP="002870F3">
      <w:pPr>
        <w:jc w:val="both"/>
        <w:rPr>
          <w:rFonts w:ascii="Times New Roman" w:hAnsi="Times New Roman"/>
          <w:lang w:val="es-CL"/>
        </w:rPr>
      </w:pPr>
      <w:r>
        <w:rPr>
          <w:rFonts w:ascii="Times New Roman" w:hAnsi="Times New Roman"/>
          <w:lang w:val="es-CL"/>
        </w:rPr>
        <w:t xml:space="preserve">Excipientes: </w:t>
      </w:r>
      <w:proofErr w:type="spellStart"/>
      <w:r w:rsidRPr="00AA74DA">
        <w:rPr>
          <w:rFonts w:ascii="Times New Roman" w:hAnsi="Times New Roman"/>
          <w:lang w:val="es-CL"/>
        </w:rPr>
        <w:t>Lauril</w:t>
      </w:r>
      <w:proofErr w:type="spellEnd"/>
      <w:r w:rsidRPr="00AA74DA">
        <w:rPr>
          <w:rFonts w:ascii="Times New Roman" w:hAnsi="Times New Roman"/>
          <w:lang w:val="es-CL"/>
        </w:rPr>
        <w:t xml:space="preserve"> </w:t>
      </w:r>
      <w:proofErr w:type="spellStart"/>
      <w:r w:rsidRPr="00AA74DA">
        <w:rPr>
          <w:rFonts w:ascii="Times New Roman" w:hAnsi="Times New Roman"/>
          <w:lang w:val="es-CL"/>
        </w:rPr>
        <w:t>macrogolglicéridos</w:t>
      </w:r>
      <w:proofErr w:type="spellEnd"/>
      <w:r w:rsidRPr="00AA74DA">
        <w:rPr>
          <w:rFonts w:ascii="Times New Roman" w:hAnsi="Times New Roman"/>
          <w:lang w:val="es-CL"/>
        </w:rPr>
        <w:t xml:space="preserve">, </w:t>
      </w:r>
      <w:proofErr w:type="spellStart"/>
      <w:r w:rsidRPr="00AA74DA">
        <w:rPr>
          <w:rFonts w:ascii="Times New Roman" w:hAnsi="Times New Roman"/>
          <w:lang w:val="es-CL"/>
        </w:rPr>
        <w:t>macrogol</w:t>
      </w:r>
      <w:proofErr w:type="spellEnd"/>
      <w:r w:rsidRPr="00AA74DA">
        <w:rPr>
          <w:rFonts w:ascii="Times New Roman" w:hAnsi="Times New Roman"/>
          <w:lang w:val="es-CL"/>
        </w:rPr>
        <w:t xml:space="preserve"> 20.000, </w:t>
      </w:r>
      <w:proofErr w:type="spellStart"/>
      <w:r>
        <w:rPr>
          <w:rFonts w:ascii="Times New Roman" w:hAnsi="Times New Roman"/>
          <w:lang w:val="es-CL"/>
        </w:rPr>
        <w:t>hiprolosa</w:t>
      </w:r>
      <w:proofErr w:type="spellEnd"/>
      <w:r>
        <w:rPr>
          <w:rFonts w:ascii="Times New Roman" w:hAnsi="Times New Roman"/>
          <w:lang w:val="es-CL"/>
        </w:rPr>
        <w:t xml:space="preserve">, gelatina, óxido de hierro negro, óxido de hierro amarillo, dióxido de titanio, colorante azul FD&amp;C N°2, óxido de hierro rojo, </w:t>
      </w:r>
      <w:proofErr w:type="spellStart"/>
      <w:r>
        <w:rPr>
          <w:rFonts w:ascii="Times New Roman" w:hAnsi="Times New Roman"/>
          <w:lang w:val="es-CL"/>
        </w:rPr>
        <w:t>c.s</w:t>
      </w:r>
      <w:proofErr w:type="spellEnd"/>
      <w:r w:rsidRPr="00AA74DA">
        <w:rPr>
          <w:rFonts w:ascii="Times New Roman" w:hAnsi="Times New Roman"/>
          <w:lang w:val="es-CL"/>
        </w:rPr>
        <w:t>.</w:t>
      </w:r>
    </w:p>
    <w:p w:rsidR="002870F3" w:rsidRPr="00890B91" w:rsidRDefault="002870F3" w:rsidP="002870F3">
      <w:pPr>
        <w:ind w:left="567" w:hanging="567"/>
        <w:jc w:val="both"/>
        <w:rPr>
          <w:rFonts w:ascii="Times New Roman" w:hAnsi="Times New Roman"/>
          <w:b/>
          <w:sz w:val="28"/>
          <w:u w:val="single"/>
        </w:rPr>
      </w:pPr>
    </w:p>
    <w:p w:rsidR="002870F3" w:rsidRDefault="002870F3" w:rsidP="002870F3">
      <w:pPr>
        <w:spacing w:line="240" w:lineRule="atLeast"/>
        <w:jc w:val="both"/>
        <w:rPr>
          <w:rFonts w:ascii="Times New Roman" w:hAnsi="Times New Roman"/>
          <w:b/>
          <w:szCs w:val="24"/>
        </w:rPr>
      </w:pPr>
      <w:r w:rsidRPr="00890B91">
        <w:rPr>
          <w:rFonts w:ascii="Times New Roman" w:hAnsi="Times New Roman"/>
          <w:b/>
          <w:szCs w:val="24"/>
        </w:rPr>
        <w:t>FARMACOLOGÍA</w:t>
      </w:r>
      <w:r>
        <w:rPr>
          <w:rFonts w:ascii="Times New Roman" w:hAnsi="Times New Roman"/>
          <w:b/>
          <w:szCs w:val="24"/>
        </w:rPr>
        <w:t xml:space="preserve"> - </w:t>
      </w:r>
      <w:r w:rsidRPr="00890B91">
        <w:rPr>
          <w:rFonts w:ascii="Times New Roman" w:hAnsi="Times New Roman"/>
          <w:b/>
          <w:szCs w:val="24"/>
        </w:rPr>
        <w:t>MECANISMO DE ACCIÓN</w:t>
      </w:r>
    </w:p>
    <w:p w:rsidR="002870F3" w:rsidRDefault="002870F3" w:rsidP="002870F3">
      <w:pPr>
        <w:spacing w:line="240" w:lineRule="atLeast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Grupo </w:t>
      </w:r>
      <w:proofErr w:type="spellStart"/>
      <w:r>
        <w:rPr>
          <w:rFonts w:ascii="Times New Roman" w:hAnsi="Times New Roman"/>
          <w:b/>
          <w:szCs w:val="24"/>
        </w:rPr>
        <w:t>farmacoterapéutico</w:t>
      </w:r>
      <w:proofErr w:type="spellEnd"/>
      <w:r>
        <w:rPr>
          <w:rFonts w:ascii="Times New Roman" w:hAnsi="Times New Roman"/>
          <w:b/>
          <w:szCs w:val="24"/>
        </w:rPr>
        <w:t xml:space="preserve">: </w:t>
      </w:r>
      <w:proofErr w:type="spellStart"/>
      <w:r>
        <w:rPr>
          <w:rFonts w:ascii="Times New Roman" w:hAnsi="Times New Roman"/>
          <w:b/>
          <w:szCs w:val="24"/>
        </w:rPr>
        <w:t>Fibratos</w:t>
      </w:r>
      <w:proofErr w:type="spellEnd"/>
    </w:p>
    <w:p w:rsidR="002870F3" w:rsidRPr="00890B91" w:rsidRDefault="002870F3" w:rsidP="002870F3">
      <w:pPr>
        <w:spacing w:line="240" w:lineRule="atLeast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Código ATC: C10AB05</w:t>
      </w:r>
    </w:p>
    <w:p w:rsidR="002870F3" w:rsidRPr="00890B91" w:rsidRDefault="002870F3" w:rsidP="002870F3">
      <w:pPr>
        <w:suppressAutoHyphens/>
        <w:jc w:val="both"/>
        <w:rPr>
          <w:rFonts w:ascii="Times New Roman" w:hAnsi="Times New Roman"/>
          <w:b/>
          <w:szCs w:val="24"/>
        </w:rPr>
      </w:pPr>
    </w:p>
    <w:p w:rsidR="002870F3" w:rsidRDefault="002870F3" w:rsidP="002870F3">
      <w:pPr>
        <w:spacing w:line="240" w:lineRule="atLeast"/>
        <w:jc w:val="both"/>
        <w:rPr>
          <w:rFonts w:ascii="Times New Roman" w:hAnsi="Times New Roman"/>
          <w:szCs w:val="24"/>
        </w:rPr>
      </w:pPr>
      <w:r w:rsidRPr="00B320C2">
        <w:rPr>
          <w:rFonts w:ascii="Times New Roman" w:hAnsi="Times New Roman"/>
          <w:szCs w:val="24"/>
        </w:rPr>
        <w:t xml:space="preserve">El </w:t>
      </w:r>
      <w:proofErr w:type="spellStart"/>
      <w:r w:rsidRPr="00B320C2">
        <w:rPr>
          <w:rFonts w:ascii="Times New Roman" w:hAnsi="Times New Roman"/>
          <w:szCs w:val="24"/>
        </w:rPr>
        <w:t>fenofibrato</w:t>
      </w:r>
      <w:proofErr w:type="spellEnd"/>
      <w:r w:rsidRPr="00B320C2">
        <w:rPr>
          <w:rFonts w:ascii="Times New Roman" w:hAnsi="Times New Roman"/>
          <w:szCs w:val="24"/>
        </w:rPr>
        <w:t xml:space="preserve"> es un derivado del ácido </w:t>
      </w:r>
      <w:proofErr w:type="spellStart"/>
      <w:r w:rsidRPr="00B320C2">
        <w:rPr>
          <w:rFonts w:ascii="Times New Roman" w:hAnsi="Times New Roman"/>
          <w:szCs w:val="24"/>
        </w:rPr>
        <w:t>fíbrico</w:t>
      </w:r>
      <w:proofErr w:type="spellEnd"/>
      <w:r>
        <w:rPr>
          <w:rFonts w:ascii="Times New Roman" w:hAnsi="Times New Roman"/>
          <w:szCs w:val="24"/>
        </w:rPr>
        <w:t>,</w:t>
      </w:r>
      <w:r w:rsidRPr="00B320C2">
        <w:rPr>
          <w:rFonts w:ascii="Times New Roman" w:hAnsi="Times New Roman"/>
          <w:szCs w:val="24"/>
        </w:rPr>
        <w:t xml:space="preserve"> cuyo efecto sobre los lípidos en humanos se realiza mediante</w:t>
      </w:r>
      <w:r>
        <w:rPr>
          <w:rFonts w:ascii="Times New Roman" w:hAnsi="Times New Roman"/>
          <w:szCs w:val="24"/>
        </w:rPr>
        <w:t xml:space="preserve"> </w:t>
      </w:r>
      <w:r w:rsidRPr="00B320C2">
        <w:rPr>
          <w:rFonts w:ascii="Times New Roman" w:hAnsi="Times New Roman"/>
          <w:szCs w:val="24"/>
        </w:rPr>
        <w:t xml:space="preserve">la activación del receptor de la actividad proliferativa de los </w:t>
      </w:r>
      <w:proofErr w:type="spellStart"/>
      <w:r w:rsidRPr="00B320C2">
        <w:rPr>
          <w:rFonts w:ascii="Times New Roman" w:hAnsi="Times New Roman"/>
          <w:szCs w:val="24"/>
        </w:rPr>
        <w:t>peroxisomas</w:t>
      </w:r>
      <w:proofErr w:type="spellEnd"/>
      <w:r w:rsidRPr="00B320C2">
        <w:rPr>
          <w:rFonts w:ascii="Times New Roman" w:hAnsi="Times New Roman"/>
          <w:szCs w:val="24"/>
        </w:rPr>
        <w:t xml:space="preserve"> “</w:t>
      </w:r>
      <w:proofErr w:type="spellStart"/>
      <w:r w:rsidRPr="00B320C2">
        <w:rPr>
          <w:rFonts w:ascii="Times New Roman" w:hAnsi="Times New Roman"/>
          <w:szCs w:val="24"/>
        </w:rPr>
        <w:t>Peroxisome</w:t>
      </w:r>
      <w:proofErr w:type="spellEnd"/>
      <w:r w:rsidRPr="00B320C2">
        <w:rPr>
          <w:rFonts w:ascii="Times New Roman" w:hAnsi="Times New Roman"/>
          <w:szCs w:val="24"/>
        </w:rPr>
        <w:t xml:space="preserve"> </w:t>
      </w:r>
      <w:proofErr w:type="spellStart"/>
      <w:r w:rsidRPr="00B320C2">
        <w:rPr>
          <w:rFonts w:ascii="Times New Roman" w:hAnsi="Times New Roman"/>
          <w:szCs w:val="24"/>
        </w:rPr>
        <w:t>Proliferator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 w:rsidRPr="00B320C2">
        <w:rPr>
          <w:rFonts w:ascii="Times New Roman" w:hAnsi="Times New Roman"/>
          <w:szCs w:val="24"/>
        </w:rPr>
        <w:t>Activated</w:t>
      </w:r>
      <w:proofErr w:type="spellEnd"/>
      <w:r w:rsidRPr="00B320C2">
        <w:rPr>
          <w:rFonts w:ascii="Times New Roman" w:hAnsi="Times New Roman"/>
          <w:szCs w:val="24"/>
        </w:rPr>
        <w:t xml:space="preserve"> Receptor </w:t>
      </w:r>
      <w:proofErr w:type="spellStart"/>
      <w:r w:rsidRPr="00B320C2">
        <w:rPr>
          <w:rFonts w:ascii="Times New Roman" w:hAnsi="Times New Roman"/>
          <w:szCs w:val="24"/>
        </w:rPr>
        <w:t>type</w:t>
      </w:r>
      <w:proofErr w:type="spellEnd"/>
      <w:r w:rsidRPr="00B320C2">
        <w:rPr>
          <w:rFonts w:ascii="Times New Roman" w:hAnsi="Times New Roman"/>
          <w:szCs w:val="24"/>
        </w:rPr>
        <w:t xml:space="preserve"> α (PPARα)”.</w:t>
      </w:r>
    </w:p>
    <w:p w:rsidR="002870F3" w:rsidRDefault="002870F3" w:rsidP="002870F3">
      <w:pPr>
        <w:spacing w:line="240" w:lineRule="atLeast"/>
        <w:jc w:val="both"/>
        <w:rPr>
          <w:rFonts w:ascii="Times New Roman" w:hAnsi="Times New Roman"/>
          <w:szCs w:val="24"/>
        </w:rPr>
      </w:pPr>
    </w:p>
    <w:p w:rsidR="002870F3" w:rsidRDefault="002870F3" w:rsidP="002870F3">
      <w:pPr>
        <w:spacing w:line="240" w:lineRule="atLeast"/>
        <w:jc w:val="both"/>
        <w:rPr>
          <w:rFonts w:ascii="Times New Roman" w:hAnsi="Times New Roman"/>
          <w:szCs w:val="24"/>
          <w:lang w:val="es-CL"/>
        </w:rPr>
      </w:pPr>
      <w:r w:rsidRPr="00B320C2">
        <w:rPr>
          <w:rFonts w:ascii="Times New Roman" w:hAnsi="Times New Roman"/>
          <w:szCs w:val="24"/>
          <w:lang w:val="es-CL"/>
        </w:rPr>
        <w:t xml:space="preserve">Gracias a la activación del PPARα, el </w:t>
      </w:r>
      <w:proofErr w:type="spellStart"/>
      <w:r w:rsidRPr="00B320C2">
        <w:rPr>
          <w:rFonts w:ascii="Times New Roman" w:hAnsi="Times New Roman"/>
          <w:szCs w:val="24"/>
          <w:lang w:val="es-CL"/>
        </w:rPr>
        <w:t>fenofibrato</w:t>
      </w:r>
      <w:proofErr w:type="spellEnd"/>
      <w:r w:rsidRPr="00B320C2">
        <w:rPr>
          <w:rFonts w:ascii="Times New Roman" w:hAnsi="Times New Roman"/>
          <w:szCs w:val="24"/>
          <w:lang w:val="es-CL"/>
        </w:rPr>
        <w:t xml:space="preserve"> </w:t>
      </w:r>
      <w:r>
        <w:rPr>
          <w:rFonts w:ascii="Times New Roman" w:hAnsi="Times New Roman"/>
          <w:szCs w:val="24"/>
          <w:lang w:val="es-CL"/>
        </w:rPr>
        <w:t>aumenta</w:t>
      </w:r>
      <w:r w:rsidRPr="00B320C2">
        <w:rPr>
          <w:rFonts w:ascii="Times New Roman" w:hAnsi="Times New Roman"/>
          <w:szCs w:val="24"/>
          <w:lang w:val="es-CL"/>
        </w:rPr>
        <w:t xml:space="preserve"> la lipolisis y la eliminación de las</w:t>
      </w:r>
      <w:r>
        <w:rPr>
          <w:rFonts w:ascii="Times New Roman" w:hAnsi="Times New Roman"/>
          <w:szCs w:val="24"/>
          <w:lang w:val="es-CL"/>
        </w:rPr>
        <w:t xml:space="preserve"> </w:t>
      </w:r>
      <w:r w:rsidRPr="00B320C2">
        <w:rPr>
          <w:rFonts w:ascii="Times New Roman" w:hAnsi="Times New Roman"/>
          <w:szCs w:val="24"/>
          <w:lang w:val="es-CL"/>
        </w:rPr>
        <w:t xml:space="preserve">partículas </w:t>
      </w:r>
      <w:proofErr w:type="spellStart"/>
      <w:r w:rsidRPr="00B320C2">
        <w:rPr>
          <w:rFonts w:ascii="Times New Roman" w:hAnsi="Times New Roman"/>
          <w:szCs w:val="24"/>
          <w:lang w:val="es-CL"/>
        </w:rPr>
        <w:t>aterogénicas</w:t>
      </w:r>
      <w:proofErr w:type="spellEnd"/>
      <w:r w:rsidRPr="00B320C2">
        <w:rPr>
          <w:rFonts w:ascii="Times New Roman" w:hAnsi="Times New Roman"/>
          <w:szCs w:val="24"/>
          <w:lang w:val="es-CL"/>
        </w:rPr>
        <w:t xml:space="preserve"> ricas en triglicéridos del plasma, activando la lipoproteína lipasa y reduciendo la</w:t>
      </w:r>
      <w:r>
        <w:rPr>
          <w:rFonts w:ascii="Times New Roman" w:hAnsi="Times New Roman"/>
          <w:szCs w:val="24"/>
          <w:lang w:val="es-CL"/>
        </w:rPr>
        <w:t xml:space="preserve"> </w:t>
      </w:r>
      <w:r w:rsidRPr="00B320C2">
        <w:rPr>
          <w:rFonts w:ascii="Times New Roman" w:hAnsi="Times New Roman"/>
          <w:szCs w:val="24"/>
          <w:lang w:val="es-CL"/>
        </w:rPr>
        <w:t xml:space="preserve">producción de la </w:t>
      </w:r>
      <w:proofErr w:type="spellStart"/>
      <w:r w:rsidRPr="00B320C2">
        <w:rPr>
          <w:rFonts w:ascii="Times New Roman" w:hAnsi="Times New Roman"/>
          <w:szCs w:val="24"/>
          <w:lang w:val="es-CL"/>
        </w:rPr>
        <w:t>apoproteína</w:t>
      </w:r>
      <w:proofErr w:type="spellEnd"/>
      <w:r w:rsidRPr="00B320C2">
        <w:rPr>
          <w:rFonts w:ascii="Times New Roman" w:hAnsi="Times New Roman"/>
          <w:szCs w:val="24"/>
          <w:lang w:val="es-CL"/>
        </w:rPr>
        <w:t xml:space="preserve"> CIII. La activación del PPARα favorece también el aumento de la síntesis de</w:t>
      </w:r>
      <w:r>
        <w:rPr>
          <w:rFonts w:ascii="Times New Roman" w:hAnsi="Times New Roman"/>
          <w:szCs w:val="24"/>
          <w:lang w:val="es-CL"/>
        </w:rPr>
        <w:t xml:space="preserve"> </w:t>
      </w:r>
      <w:r w:rsidRPr="00B320C2">
        <w:rPr>
          <w:rFonts w:ascii="Times New Roman" w:hAnsi="Times New Roman"/>
          <w:szCs w:val="24"/>
          <w:lang w:val="es-CL"/>
        </w:rPr>
        <w:t xml:space="preserve">las </w:t>
      </w:r>
      <w:proofErr w:type="spellStart"/>
      <w:r w:rsidRPr="00B320C2">
        <w:rPr>
          <w:rFonts w:ascii="Times New Roman" w:hAnsi="Times New Roman"/>
          <w:szCs w:val="24"/>
          <w:lang w:val="es-CL"/>
        </w:rPr>
        <w:t>apoproteínas</w:t>
      </w:r>
      <w:proofErr w:type="spellEnd"/>
      <w:r w:rsidRPr="00B320C2">
        <w:rPr>
          <w:rFonts w:ascii="Times New Roman" w:hAnsi="Times New Roman"/>
          <w:szCs w:val="24"/>
          <w:lang w:val="es-CL"/>
        </w:rPr>
        <w:t xml:space="preserve"> AI y AII.</w:t>
      </w:r>
    </w:p>
    <w:p w:rsidR="002870F3" w:rsidRDefault="002870F3" w:rsidP="002870F3">
      <w:pPr>
        <w:spacing w:line="240" w:lineRule="atLeast"/>
        <w:jc w:val="both"/>
        <w:rPr>
          <w:rFonts w:ascii="Times New Roman" w:hAnsi="Times New Roman"/>
          <w:szCs w:val="24"/>
          <w:lang w:val="es-CL"/>
        </w:rPr>
      </w:pPr>
    </w:p>
    <w:p w:rsidR="002870F3" w:rsidRPr="00B320C2" w:rsidRDefault="002870F3" w:rsidP="002870F3">
      <w:pPr>
        <w:spacing w:line="240" w:lineRule="atLeast"/>
        <w:jc w:val="both"/>
        <w:rPr>
          <w:rFonts w:ascii="Times New Roman" w:hAnsi="Times New Roman"/>
          <w:szCs w:val="24"/>
          <w:lang w:val="es-CL"/>
        </w:rPr>
      </w:pPr>
      <w:r w:rsidRPr="00B320C2">
        <w:rPr>
          <w:rFonts w:ascii="Times New Roman" w:hAnsi="Times New Roman"/>
          <w:szCs w:val="24"/>
          <w:lang w:val="es-CL"/>
        </w:rPr>
        <w:t xml:space="preserve">Ambos efectos del </w:t>
      </w:r>
      <w:proofErr w:type="spellStart"/>
      <w:r w:rsidRPr="00B320C2">
        <w:rPr>
          <w:rFonts w:ascii="Times New Roman" w:hAnsi="Times New Roman"/>
          <w:szCs w:val="24"/>
          <w:lang w:val="es-CL"/>
        </w:rPr>
        <w:t>fenofibrato</w:t>
      </w:r>
      <w:proofErr w:type="spellEnd"/>
      <w:r w:rsidRPr="00B320C2">
        <w:rPr>
          <w:rFonts w:ascii="Times New Roman" w:hAnsi="Times New Roman"/>
          <w:szCs w:val="24"/>
          <w:lang w:val="es-CL"/>
        </w:rPr>
        <w:t xml:space="preserve"> sobre las lipoproteínas conducen a la reducción de las fracciones de baja y</w:t>
      </w:r>
      <w:r>
        <w:rPr>
          <w:rFonts w:ascii="Times New Roman" w:hAnsi="Times New Roman"/>
          <w:szCs w:val="24"/>
          <w:lang w:val="es-CL"/>
        </w:rPr>
        <w:t xml:space="preserve"> </w:t>
      </w:r>
      <w:r w:rsidRPr="00B320C2">
        <w:rPr>
          <w:rFonts w:ascii="Times New Roman" w:hAnsi="Times New Roman"/>
          <w:szCs w:val="24"/>
          <w:lang w:val="es-CL"/>
        </w:rPr>
        <w:t xml:space="preserve">muy baja densidad (VLDL y LDL) que contiene la </w:t>
      </w:r>
      <w:proofErr w:type="spellStart"/>
      <w:r w:rsidRPr="00B320C2">
        <w:rPr>
          <w:rFonts w:ascii="Times New Roman" w:hAnsi="Times New Roman"/>
          <w:szCs w:val="24"/>
          <w:lang w:val="es-CL"/>
        </w:rPr>
        <w:t>apoproteína</w:t>
      </w:r>
      <w:proofErr w:type="spellEnd"/>
      <w:r w:rsidRPr="00B320C2">
        <w:rPr>
          <w:rFonts w:ascii="Times New Roman" w:hAnsi="Times New Roman"/>
          <w:szCs w:val="24"/>
          <w:lang w:val="es-CL"/>
        </w:rPr>
        <w:t xml:space="preserve"> B y a un aumento de la fracción</w:t>
      </w:r>
      <w:r>
        <w:rPr>
          <w:rFonts w:ascii="Times New Roman" w:hAnsi="Times New Roman"/>
          <w:szCs w:val="24"/>
          <w:lang w:val="es-CL"/>
        </w:rPr>
        <w:t xml:space="preserve"> </w:t>
      </w:r>
      <w:proofErr w:type="spellStart"/>
      <w:r w:rsidRPr="00B320C2">
        <w:rPr>
          <w:rFonts w:ascii="Times New Roman" w:hAnsi="Times New Roman"/>
          <w:szCs w:val="24"/>
          <w:lang w:val="es-CL"/>
        </w:rPr>
        <w:t>lipoproteica</w:t>
      </w:r>
      <w:proofErr w:type="spellEnd"/>
      <w:r w:rsidRPr="00B320C2">
        <w:rPr>
          <w:rFonts w:ascii="Times New Roman" w:hAnsi="Times New Roman"/>
          <w:szCs w:val="24"/>
          <w:lang w:val="es-CL"/>
        </w:rPr>
        <w:t xml:space="preserve"> de alta densidad (HDL) que contiene las </w:t>
      </w:r>
      <w:proofErr w:type="spellStart"/>
      <w:r w:rsidRPr="00B320C2">
        <w:rPr>
          <w:rFonts w:ascii="Times New Roman" w:hAnsi="Times New Roman"/>
          <w:szCs w:val="24"/>
          <w:lang w:val="es-CL"/>
        </w:rPr>
        <w:t>apoproteínas</w:t>
      </w:r>
      <w:proofErr w:type="spellEnd"/>
      <w:r w:rsidRPr="00B320C2">
        <w:rPr>
          <w:rFonts w:ascii="Times New Roman" w:hAnsi="Times New Roman"/>
          <w:szCs w:val="24"/>
          <w:lang w:val="es-CL"/>
        </w:rPr>
        <w:t xml:space="preserve"> AI y AII.</w:t>
      </w:r>
      <w:r>
        <w:rPr>
          <w:rFonts w:ascii="Times New Roman" w:hAnsi="Times New Roman"/>
          <w:szCs w:val="24"/>
          <w:lang w:val="es-CL"/>
        </w:rPr>
        <w:t xml:space="preserve"> </w:t>
      </w:r>
      <w:r w:rsidRPr="00B320C2">
        <w:rPr>
          <w:rFonts w:ascii="Times New Roman" w:hAnsi="Times New Roman"/>
          <w:szCs w:val="24"/>
          <w:lang w:val="es-CL"/>
        </w:rPr>
        <w:t xml:space="preserve">Además, mediante la modulación de la síntesis y del catabolismo de las VLDL, el </w:t>
      </w:r>
      <w:proofErr w:type="spellStart"/>
      <w:r w:rsidRPr="00B320C2">
        <w:rPr>
          <w:rFonts w:ascii="Times New Roman" w:hAnsi="Times New Roman"/>
          <w:szCs w:val="24"/>
          <w:lang w:val="es-CL"/>
        </w:rPr>
        <w:t>fenofibrato</w:t>
      </w:r>
      <w:proofErr w:type="spellEnd"/>
      <w:r w:rsidRPr="00B320C2">
        <w:rPr>
          <w:rFonts w:ascii="Times New Roman" w:hAnsi="Times New Roman"/>
          <w:szCs w:val="24"/>
          <w:lang w:val="es-CL"/>
        </w:rPr>
        <w:t xml:space="preserve"> aumenta el</w:t>
      </w:r>
      <w:r>
        <w:rPr>
          <w:rFonts w:ascii="Times New Roman" w:hAnsi="Times New Roman"/>
          <w:szCs w:val="24"/>
          <w:lang w:val="es-CL"/>
        </w:rPr>
        <w:t xml:space="preserve"> </w:t>
      </w:r>
      <w:r w:rsidRPr="00B320C2">
        <w:rPr>
          <w:rFonts w:ascii="Times New Roman" w:hAnsi="Times New Roman"/>
          <w:szCs w:val="24"/>
          <w:lang w:val="es-CL"/>
        </w:rPr>
        <w:t>aclaramiento de las LDL, reduciendo los niveles de partículas pequeñas y densas de las LDL, que suelen</w:t>
      </w:r>
      <w:r>
        <w:rPr>
          <w:rFonts w:ascii="Times New Roman" w:hAnsi="Times New Roman"/>
          <w:szCs w:val="24"/>
          <w:lang w:val="es-CL"/>
        </w:rPr>
        <w:t xml:space="preserve"> </w:t>
      </w:r>
      <w:r w:rsidRPr="00B320C2">
        <w:rPr>
          <w:rFonts w:ascii="Times New Roman" w:hAnsi="Times New Roman"/>
          <w:szCs w:val="24"/>
          <w:lang w:val="es-CL"/>
        </w:rPr>
        <w:t xml:space="preserve">estar elevados en los fenotipos de lipoproteínas </w:t>
      </w:r>
      <w:proofErr w:type="spellStart"/>
      <w:r w:rsidRPr="00B320C2">
        <w:rPr>
          <w:rFonts w:ascii="Times New Roman" w:hAnsi="Times New Roman"/>
          <w:szCs w:val="24"/>
          <w:lang w:val="es-CL"/>
        </w:rPr>
        <w:t>aterogénicas</w:t>
      </w:r>
      <w:proofErr w:type="spellEnd"/>
      <w:r w:rsidRPr="00B320C2">
        <w:rPr>
          <w:rFonts w:ascii="Times New Roman" w:hAnsi="Times New Roman"/>
          <w:szCs w:val="24"/>
          <w:lang w:val="es-CL"/>
        </w:rPr>
        <w:t>, trastorno común en los pacientes con riesgo</w:t>
      </w:r>
      <w:r>
        <w:rPr>
          <w:rFonts w:ascii="Times New Roman" w:hAnsi="Times New Roman"/>
          <w:szCs w:val="24"/>
          <w:lang w:val="es-CL"/>
        </w:rPr>
        <w:t xml:space="preserve"> </w:t>
      </w:r>
      <w:r w:rsidRPr="00B320C2">
        <w:rPr>
          <w:rFonts w:ascii="Times New Roman" w:hAnsi="Times New Roman"/>
          <w:szCs w:val="24"/>
          <w:lang w:val="es-CL"/>
        </w:rPr>
        <w:t>de enfermedad cardiovascular isquémica.</w:t>
      </w:r>
    </w:p>
    <w:p w:rsidR="002870F3" w:rsidRDefault="002870F3" w:rsidP="002870F3">
      <w:pPr>
        <w:spacing w:line="240" w:lineRule="atLeast"/>
        <w:jc w:val="both"/>
        <w:rPr>
          <w:rFonts w:ascii="Times New Roman" w:hAnsi="Times New Roman"/>
          <w:szCs w:val="24"/>
          <w:lang w:val="es-CL"/>
        </w:rPr>
      </w:pPr>
    </w:p>
    <w:p w:rsidR="002870F3" w:rsidRPr="00B320C2" w:rsidRDefault="002870F3" w:rsidP="002870F3">
      <w:pPr>
        <w:spacing w:line="240" w:lineRule="atLeast"/>
        <w:jc w:val="both"/>
        <w:rPr>
          <w:rFonts w:ascii="Times New Roman" w:hAnsi="Times New Roman"/>
          <w:szCs w:val="24"/>
          <w:lang w:val="es-CL"/>
        </w:rPr>
      </w:pPr>
      <w:r w:rsidRPr="00B320C2">
        <w:rPr>
          <w:rFonts w:ascii="Times New Roman" w:hAnsi="Times New Roman"/>
          <w:szCs w:val="24"/>
          <w:lang w:val="es-CL"/>
        </w:rPr>
        <w:t xml:space="preserve">Durante los ensayos clínicos llevados a cabo con </w:t>
      </w:r>
      <w:proofErr w:type="spellStart"/>
      <w:r w:rsidRPr="00B320C2">
        <w:rPr>
          <w:rFonts w:ascii="Times New Roman" w:hAnsi="Times New Roman"/>
          <w:szCs w:val="24"/>
          <w:lang w:val="es-CL"/>
        </w:rPr>
        <w:t>fenofibrato</w:t>
      </w:r>
      <w:proofErr w:type="spellEnd"/>
      <w:r w:rsidRPr="00B320C2">
        <w:rPr>
          <w:rFonts w:ascii="Times New Roman" w:hAnsi="Times New Roman"/>
          <w:szCs w:val="24"/>
          <w:lang w:val="es-CL"/>
        </w:rPr>
        <w:t>, el nivel de colesterol total disminuyó entre el</w:t>
      </w:r>
      <w:r>
        <w:rPr>
          <w:rFonts w:ascii="Times New Roman" w:hAnsi="Times New Roman"/>
          <w:szCs w:val="24"/>
          <w:lang w:val="es-CL"/>
        </w:rPr>
        <w:t xml:space="preserve"> </w:t>
      </w:r>
      <w:r w:rsidRPr="00B320C2">
        <w:rPr>
          <w:rFonts w:ascii="Times New Roman" w:hAnsi="Times New Roman"/>
          <w:szCs w:val="24"/>
          <w:lang w:val="es-CL"/>
        </w:rPr>
        <w:t>20 y el 25%, el de los triglicéridos entre un 40 y un 55% y el del HDL-colesterol aumentó entre un 10 y un</w:t>
      </w:r>
      <w:r>
        <w:rPr>
          <w:rFonts w:ascii="Times New Roman" w:hAnsi="Times New Roman"/>
          <w:szCs w:val="24"/>
          <w:lang w:val="es-CL"/>
        </w:rPr>
        <w:t xml:space="preserve"> </w:t>
      </w:r>
      <w:r w:rsidRPr="00B320C2">
        <w:rPr>
          <w:rFonts w:ascii="Times New Roman" w:hAnsi="Times New Roman"/>
          <w:szCs w:val="24"/>
          <w:lang w:val="es-CL"/>
        </w:rPr>
        <w:t>30%.</w:t>
      </w:r>
      <w:r>
        <w:rPr>
          <w:rFonts w:ascii="Times New Roman" w:hAnsi="Times New Roman"/>
          <w:szCs w:val="24"/>
          <w:lang w:val="es-CL"/>
        </w:rPr>
        <w:t xml:space="preserve"> </w:t>
      </w:r>
      <w:r w:rsidRPr="00B320C2">
        <w:rPr>
          <w:rFonts w:ascii="Times New Roman" w:hAnsi="Times New Roman"/>
          <w:szCs w:val="24"/>
          <w:lang w:val="es-CL"/>
        </w:rPr>
        <w:t xml:space="preserve">En los pacientes </w:t>
      </w:r>
      <w:proofErr w:type="spellStart"/>
      <w:r w:rsidRPr="00B320C2">
        <w:rPr>
          <w:rFonts w:ascii="Times New Roman" w:hAnsi="Times New Roman"/>
          <w:szCs w:val="24"/>
          <w:lang w:val="es-CL"/>
        </w:rPr>
        <w:t>hipercolesterolémicos</w:t>
      </w:r>
      <w:proofErr w:type="spellEnd"/>
      <w:r w:rsidRPr="00B320C2">
        <w:rPr>
          <w:rFonts w:ascii="Times New Roman" w:hAnsi="Times New Roman"/>
          <w:szCs w:val="24"/>
          <w:lang w:val="es-CL"/>
        </w:rPr>
        <w:t>, los niveles de LDL-colesterol disminuyeron entre un 20 y un 35%</w:t>
      </w:r>
      <w:r>
        <w:rPr>
          <w:rFonts w:ascii="Times New Roman" w:hAnsi="Times New Roman"/>
          <w:szCs w:val="24"/>
          <w:lang w:val="es-CL"/>
        </w:rPr>
        <w:t xml:space="preserve"> </w:t>
      </w:r>
      <w:r w:rsidRPr="00B320C2">
        <w:rPr>
          <w:rFonts w:ascii="Times New Roman" w:hAnsi="Times New Roman"/>
          <w:szCs w:val="24"/>
          <w:lang w:val="es-CL"/>
        </w:rPr>
        <w:t>y el efecto global sobre el colesterol dio como resultado una disminución e</w:t>
      </w:r>
      <w:r>
        <w:rPr>
          <w:rFonts w:ascii="Times New Roman" w:hAnsi="Times New Roman"/>
          <w:szCs w:val="24"/>
          <w:lang w:val="es-CL"/>
        </w:rPr>
        <w:t>n</w:t>
      </w:r>
      <w:r w:rsidRPr="00B320C2">
        <w:rPr>
          <w:rFonts w:ascii="Times New Roman" w:hAnsi="Times New Roman"/>
          <w:szCs w:val="24"/>
          <w:lang w:val="es-CL"/>
        </w:rPr>
        <w:t xml:space="preserve"> </w:t>
      </w:r>
      <w:r>
        <w:rPr>
          <w:rFonts w:ascii="Times New Roman" w:hAnsi="Times New Roman"/>
          <w:szCs w:val="24"/>
          <w:lang w:val="es-CL"/>
        </w:rPr>
        <w:t>las tasas de</w:t>
      </w:r>
      <w:r w:rsidRPr="00B320C2">
        <w:rPr>
          <w:rFonts w:ascii="Times New Roman" w:hAnsi="Times New Roman"/>
          <w:szCs w:val="24"/>
          <w:lang w:val="es-CL"/>
        </w:rPr>
        <w:t>: colesterol total /</w:t>
      </w:r>
      <w:r>
        <w:rPr>
          <w:rFonts w:ascii="Times New Roman" w:hAnsi="Times New Roman"/>
          <w:szCs w:val="24"/>
          <w:lang w:val="es-CL"/>
        </w:rPr>
        <w:t xml:space="preserve"> </w:t>
      </w:r>
      <w:r w:rsidRPr="00B320C2">
        <w:rPr>
          <w:rFonts w:ascii="Times New Roman" w:hAnsi="Times New Roman"/>
          <w:szCs w:val="24"/>
          <w:lang w:val="es-CL"/>
        </w:rPr>
        <w:t xml:space="preserve">colesterol HDL, LDL-colesterol / HDL-colesterol, o </w:t>
      </w:r>
      <w:proofErr w:type="spellStart"/>
      <w:r w:rsidRPr="00B320C2">
        <w:rPr>
          <w:rFonts w:ascii="Times New Roman" w:hAnsi="Times New Roman"/>
          <w:szCs w:val="24"/>
          <w:lang w:val="es-CL"/>
        </w:rPr>
        <w:t>apoproteína</w:t>
      </w:r>
      <w:proofErr w:type="spellEnd"/>
      <w:r w:rsidRPr="00B320C2">
        <w:rPr>
          <w:rFonts w:ascii="Times New Roman" w:hAnsi="Times New Roman"/>
          <w:szCs w:val="24"/>
          <w:lang w:val="es-CL"/>
        </w:rPr>
        <w:t xml:space="preserve"> B / </w:t>
      </w:r>
      <w:proofErr w:type="spellStart"/>
      <w:r w:rsidRPr="00B320C2">
        <w:rPr>
          <w:rFonts w:ascii="Times New Roman" w:hAnsi="Times New Roman"/>
          <w:szCs w:val="24"/>
          <w:lang w:val="es-CL"/>
        </w:rPr>
        <w:t>apoproteína</w:t>
      </w:r>
      <w:proofErr w:type="spellEnd"/>
      <w:r w:rsidRPr="00B320C2">
        <w:rPr>
          <w:rFonts w:ascii="Times New Roman" w:hAnsi="Times New Roman"/>
          <w:szCs w:val="24"/>
          <w:lang w:val="es-CL"/>
        </w:rPr>
        <w:t xml:space="preserve"> AI.</w:t>
      </w:r>
    </w:p>
    <w:p w:rsidR="002870F3" w:rsidRDefault="002870F3" w:rsidP="002870F3">
      <w:pPr>
        <w:spacing w:line="240" w:lineRule="atLeast"/>
        <w:jc w:val="both"/>
        <w:rPr>
          <w:rFonts w:ascii="Times New Roman" w:hAnsi="Times New Roman"/>
          <w:szCs w:val="24"/>
          <w:lang w:val="es-CL"/>
        </w:rPr>
      </w:pPr>
    </w:p>
    <w:p w:rsidR="002870F3" w:rsidRDefault="002870F3" w:rsidP="002870F3">
      <w:pPr>
        <w:spacing w:line="240" w:lineRule="atLeast"/>
        <w:jc w:val="both"/>
        <w:rPr>
          <w:rFonts w:ascii="Times New Roman" w:hAnsi="Times New Roman"/>
          <w:szCs w:val="24"/>
          <w:lang w:val="es-CL"/>
        </w:rPr>
      </w:pPr>
      <w:r w:rsidRPr="00B320C2">
        <w:rPr>
          <w:rFonts w:ascii="Times New Roman" w:hAnsi="Times New Roman"/>
          <w:szCs w:val="24"/>
          <w:lang w:val="es-CL"/>
        </w:rPr>
        <w:t>Debido a estos significativos efectos sobre el LDL-colesterol y sobre los triglicéridos, el tratamiento con</w:t>
      </w:r>
      <w:r>
        <w:rPr>
          <w:rFonts w:ascii="Times New Roman" w:hAnsi="Times New Roman"/>
          <w:szCs w:val="24"/>
          <w:lang w:val="es-CL"/>
        </w:rPr>
        <w:t xml:space="preserve"> </w:t>
      </w:r>
      <w:proofErr w:type="spellStart"/>
      <w:r w:rsidRPr="00B320C2">
        <w:rPr>
          <w:rFonts w:ascii="Times New Roman" w:hAnsi="Times New Roman"/>
          <w:szCs w:val="24"/>
          <w:lang w:val="es-CL"/>
        </w:rPr>
        <w:t>fenofibrato</w:t>
      </w:r>
      <w:proofErr w:type="spellEnd"/>
      <w:r w:rsidRPr="00B320C2">
        <w:rPr>
          <w:rFonts w:ascii="Times New Roman" w:hAnsi="Times New Roman"/>
          <w:szCs w:val="24"/>
          <w:lang w:val="es-CL"/>
        </w:rPr>
        <w:t xml:space="preserve"> puede ser beneficioso en pacientes </w:t>
      </w:r>
      <w:proofErr w:type="spellStart"/>
      <w:r w:rsidRPr="00B320C2">
        <w:rPr>
          <w:rFonts w:ascii="Times New Roman" w:hAnsi="Times New Roman"/>
          <w:szCs w:val="24"/>
          <w:lang w:val="es-CL"/>
        </w:rPr>
        <w:t>hipercolesterolémicos</w:t>
      </w:r>
      <w:proofErr w:type="spellEnd"/>
      <w:r w:rsidRPr="00B320C2">
        <w:rPr>
          <w:rFonts w:ascii="Times New Roman" w:hAnsi="Times New Roman"/>
          <w:szCs w:val="24"/>
          <w:lang w:val="es-CL"/>
        </w:rPr>
        <w:t xml:space="preserve"> con o sin </w:t>
      </w:r>
      <w:proofErr w:type="spellStart"/>
      <w:r w:rsidRPr="00B320C2">
        <w:rPr>
          <w:rFonts w:ascii="Times New Roman" w:hAnsi="Times New Roman"/>
          <w:szCs w:val="24"/>
          <w:lang w:val="es-CL"/>
        </w:rPr>
        <w:t>hipertrigliceridemia</w:t>
      </w:r>
      <w:proofErr w:type="spellEnd"/>
      <w:r>
        <w:rPr>
          <w:rFonts w:ascii="Times New Roman" w:hAnsi="Times New Roman"/>
          <w:szCs w:val="24"/>
          <w:lang w:val="es-CL"/>
        </w:rPr>
        <w:t xml:space="preserve"> </w:t>
      </w:r>
      <w:r w:rsidRPr="00B320C2">
        <w:rPr>
          <w:rFonts w:ascii="Times New Roman" w:hAnsi="Times New Roman"/>
          <w:szCs w:val="24"/>
          <w:lang w:val="es-CL"/>
        </w:rPr>
        <w:t xml:space="preserve">asociada, incluidas las </w:t>
      </w:r>
      <w:proofErr w:type="spellStart"/>
      <w:r w:rsidRPr="00B320C2">
        <w:rPr>
          <w:rFonts w:ascii="Times New Roman" w:hAnsi="Times New Roman"/>
          <w:szCs w:val="24"/>
          <w:lang w:val="es-CL"/>
        </w:rPr>
        <w:t>hiperlipoproteinemias</w:t>
      </w:r>
      <w:proofErr w:type="spellEnd"/>
      <w:r w:rsidRPr="00B320C2">
        <w:rPr>
          <w:rFonts w:ascii="Times New Roman" w:hAnsi="Times New Roman"/>
          <w:szCs w:val="24"/>
          <w:lang w:val="es-CL"/>
        </w:rPr>
        <w:t xml:space="preserve"> secundarias tales como </w:t>
      </w:r>
      <w:r>
        <w:rPr>
          <w:rFonts w:ascii="Times New Roman" w:hAnsi="Times New Roman"/>
          <w:szCs w:val="24"/>
          <w:lang w:val="es-CL"/>
        </w:rPr>
        <w:t xml:space="preserve">la </w:t>
      </w:r>
      <w:r w:rsidRPr="00B320C2">
        <w:rPr>
          <w:rFonts w:ascii="Times New Roman" w:hAnsi="Times New Roman"/>
          <w:szCs w:val="24"/>
          <w:lang w:val="es-CL"/>
        </w:rPr>
        <w:t>diabetes mellitus tipo 2.</w:t>
      </w:r>
    </w:p>
    <w:p w:rsidR="002870F3" w:rsidRDefault="002870F3" w:rsidP="002870F3">
      <w:pPr>
        <w:spacing w:line="240" w:lineRule="atLeast"/>
        <w:jc w:val="both"/>
        <w:rPr>
          <w:rFonts w:ascii="Times New Roman" w:hAnsi="Times New Roman"/>
          <w:szCs w:val="24"/>
          <w:lang w:val="es-CL"/>
        </w:rPr>
      </w:pPr>
    </w:p>
    <w:p w:rsidR="002870F3" w:rsidRPr="00B320C2" w:rsidRDefault="002870F3" w:rsidP="002870F3">
      <w:pPr>
        <w:spacing w:line="240" w:lineRule="atLeast"/>
        <w:jc w:val="both"/>
        <w:rPr>
          <w:rFonts w:ascii="Times New Roman" w:hAnsi="Times New Roman"/>
          <w:szCs w:val="24"/>
          <w:lang w:val="es-CL"/>
        </w:rPr>
      </w:pPr>
    </w:p>
    <w:p w:rsidR="002870F3" w:rsidRDefault="002870F3" w:rsidP="002870F3">
      <w:pPr>
        <w:spacing w:line="240" w:lineRule="atLeast"/>
        <w:jc w:val="both"/>
        <w:rPr>
          <w:rFonts w:ascii="Times New Roman" w:hAnsi="Times New Roman"/>
          <w:szCs w:val="24"/>
          <w:lang w:val="es-CL"/>
        </w:rPr>
      </w:pPr>
    </w:p>
    <w:p w:rsidR="002870F3" w:rsidRDefault="002870F3" w:rsidP="002870F3">
      <w:pPr>
        <w:spacing w:line="240" w:lineRule="atLeast"/>
        <w:jc w:val="both"/>
        <w:rPr>
          <w:rFonts w:ascii="Times New Roman" w:hAnsi="Times New Roman"/>
          <w:szCs w:val="24"/>
          <w:lang w:val="es-CL"/>
        </w:rPr>
      </w:pPr>
      <w:r w:rsidRPr="00B320C2">
        <w:rPr>
          <w:rFonts w:ascii="Times New Roman" w:hAnsi="Times New Roman"/>
          <w:szCs w:val="24"/>
          <w:lang w:val="es-CL"/>
        </w:rPr>
        <w:lastRenderedPageBreak/>
        <w:t>Los depósitos de colesterol extravasculares (xantomas tendinosos y tuberosos) pueden sufrir bajo</w:t>
      </w:r>
      <w:r>
        <w:rPr>
          <w:rFonts w:ascii="Times New Roman" w:hAnsi="Times New Roman"/>
          <w:szCs w:val="24"/>
          <w:lang w:val="es-CL"/>
        </w:rPr>
        <w:t xml:space="preserve"> </w:t>
      </w:r>
      <w:r w:rsidRPr="00B320C2">
        <w:rPr>
          <w:rFonts w:ascii="Times New Roman" w:hAnsi="Times New Roman"/>
          <w:szCs w:val="24"/>
          <w:lang w:val="es-CL"/>
        </w:rPr>
        <w:t xml:space="preserve">tratamiento con </w:t>
      </w:r>
      <w:proofErr w:type="spellStart"/>
      <w:r w:rsidRPr="00B320C2">
        <w:rPr>
          <w:rFonts w:ascii="Times New Roman" w:hAnsi="Times New Roman"/>
          <w:szCs w:val="24"/>
          <w:lang w:val="es-CL"/>
        </w:rPr>
        <w:t>fenofibrato</w:t>
      </w:r>
      <w:proofErr w:type="spellEnd"/>
      <w:r w:rsidRPr="00B320C2">
        <w:rPr>
          <w:rFonts w:ascii="Times New Roman" w:hAnsi="Times New Roman"/>
          <w:szCs w:val="24"/>
          <w:lang w:val="es-CL"/>
        </w:rPr>
        <w:t>, una reducción importante e incluso una desaparición total.</w:t>
      </w:r>
    </w:p>
    <w:p w:rsidR="002870F3" w:rsidRDefault="002870F3" w:rsidP="002870F3">
      <w:pPr>
        <w:spacing w:line="240" w:lineRule="atLeast"/>
        <w:jc w:val="both"/>
        <w:rPr>
          <w:rFonts w:ascii="Times New Roman" w:hAnsi="Times New Roman"/>
          <w:szCs w:val="24"/>
          <w:lang w:val="es-CL"/>
        </w:rPr>
      </w:pPr>
    </w:p>
    <w:p w:rsidR="002870F3" w:rsidRPr="00B320C2" w:rsidRDefault="002870F3" w:rsidP="002870F3">
      <w:pPr>
        <w:spacing w:line="240" w:lineRule="atLeast"/>
        <w:jc w:val="both"/>
        <w:rPr>
          <w:rFonts w:ascii="Times New Roman" w:hAnsi="Times New Roman"/>
          <w:szCs w:val="24"/>
          <w:lang w:val="es-CL"/>
        </w:rPr>
      </w:pPr>
      <w:r w:rsidRPr="00B320C2">
        <w:rPr>
          <w:rFonts w:ascii="Times New Roman" w:hAnsi="Times New Roman"/>
          <w:szCs w:val="24"/>
          <w:lang w:val="es-CL"/>
        </w:rPr>
        <w:t xml:space="preserve">Pacientes con elevados niveles de fibrinógeno tratados con </w:t>
      </w:r>
      <w:proofErr w:type="spellStart"/>
      <w:r w:rsidRPr="00B320C2">
        <w:rPr>
          <w:rFonts w:ascii="Times New Roman" w:hAnsi="Times New Roman"/>
          <w:szCs w:val="24"/>
          <w:lang w:val="es-CL"/>
        </w:rPr>
        <w:t>fenofibrato</w:t>
      </w:r>
      <w:proofErr w:type="spellEnd"/>
      <w:r w:rsidRPr="00B320C2">
        <w:rPr>
          <w:rFonts w:ascii="Times New Roman" w:hAnsi="Times New Roman"/>
          <w:szCs w:val="24"/>
          <w:lang w:val="es-CL"/>
        </w:rPr>
        <w:t xml:space="preserve"> presentaron una reducción</w:t>
      </w:r>
      <w:r>
        <w:rPr>
          <w:rFonts w:ascii="Times New Roman" w:hAnsi="Times New Roman"/>
          <w:szCs w:val="24"/>
          <w:lang w:val="es-CL"/>
        </w:rPr>
        <w:t xml:space="preserve"> </w:t>
      </w:r>
      <w:r w:rsidRPr="00B320C2">
        <w:rPr>
          <w:rFonts w:ascii="Times New Roman" w:hAnsi="Times New Roman"/>
          <w:szCs w:val="24"/>
          <w:lang w:val="es-CL"/>
        </w:rPr>
        <w:t xml:space="preserve">significativa de este parámetro, igual que aquellos que tenían una elevada tasa de </w:t>
      </w:r>
      <w:proofErr w:type="spellStart"/>
      <w:r w:rsidRPr="00B320C2">
        <w:rPr>
          <w:rFonts w:ascii="Times New Roman" w:hAnsi="Times New Roman"/>
          <w:szCs w:val="24"/>
          <w:lang w:val="es-CL"/>
        </w:rPr>
        <w:t>Lp</w:t>
      </w:r>
      <w:proofErr w:type="spellEnd"/>
      <w:r w:rsidRPr="00B320C2">
        <w:rPr>
          <w:rFonts w:ascii="Times New Roman" w:hAnsi="Times New Roman"/>
          <w:szCs w:val="24"/>
          <w:lang w:val="es-CL"/>
        </w:rPr>
        <w:t>(a). Otros marcadores</w:t>
      </w:r>
      <w:r>
        <w:rPr>
          <w:rFonts w:ascii="Times New Roman" w:hAnsi="Times New Roman"/>
          <w:szCs w:val="24"/>
          <w:lang w:val="es-CL"/>
        </w:rPr>
        <w:t xml:space="preserve"> </w:t>
      </w:r>
      <w:r w:rsidRPr="00B320C2">
        <w:rPr>
          <w:rFonts w:ascii="Times New Roman" w:hAnsi="Times New Roman"/>
          <w:szCs w:val="24"/>
          <w:lang w:val="es-CL"/>
        </w:rPr>
        <w:t xml:space="preserve">de la inflamación como la Proteína C Reactiva disminuyeron con el tratamiento con </w:t>
      </w:r>
      <w:proofErr w:type="spellStart"/>
      <w:r w:rsidRPr="00B320C2">
        <w:rPr>
          <w:rFonts w:ascii="Times New Roman" w:hAnsi="Times New Roman"/>
          <w:szCs w:val="24"/>
          <w:lang w:val="es-CL"/>
        </w:rPr>
        <w:t>fenofibrato</w:t>
      </w:r>
      <w:proofErr w:type="spellEnd"/>
      <w:r w:rsidRPr="00B320C2">
        <w:rPr>
          <w:rFonts w:ascii="Times New Roman" w:hAnsi="Times New Roman"/>
          <w:szCs w:val="24"/>
          <w:lang w:val="es-CL"/>
        </w:rPr>
        <w:t>.</w:t>
      </w:r>
    </w:p>
    <w:p w:rsidR="002870F3" w:rsidRDefault="002870F3" w:rsidP="002870F3">
      <w:pPr>
        <w:spacing w:line="240" w:lineRule="atLeast"/>
        <w:jc w:val="both"/>
        <w:rPr>
          <w:rFonts w:ascii="Times New Roman" w:hAnsi="Times New Roman"/>
          <w:szCs w:val="24"/>
          <w:lang w:val="es-CL"/>
        </w:rPr>
      </w:pPr>
    </w:p>
    <w:p w:rsidR="002870F3" w:rsidRPr="00B320C2" w:rsidRDefault="002870F3" w:rsidP="002870F3">
      <w:pPr>
        <w:spacing w:line="240" w:lineRule="atLeast"/>
        <w:jc w:val="both"/>
        <w:rPr>
          <w:rFonts w:ascii="Times New Roman" w:hAnsi="Times New Roman"/>
          <w:szCs w:val="24"/>
          <w:lang w:val="es-CL"/>
        </w:rPr>
      </w:pPr>
      <w:r w:rsidRPr="00B320C2">
        <w:rPr>
          <w:rFonts w:ascii="Times New Roman" w:hAnsi="Times New Roman"/>
          <w:szCs w:val="24"/>
          <w:lang w:val="es-CL"/>
        </w:rPr>
        <w:t xml:space="preserve">El efecto </w:t>
      </w:r>
      <w:proofErr w:type="spellStart"/>
      <w:r w:rsidRPr="00B320C2">
        <w:rPr>
          <w:rFonts w:ascii="Times New Roman" w:hAnsi="Times New Roman"/>
          <w:szCs w:val="24"/>
          <w:lang w:val="es-CL"/>
        </w:rPr>
        <w:t>uricosúrico</w:t>
      </w:r>
      <w:proofErr w:type="spellEnd"/>
      <w:r w:rsidRPr="00B320C2">
        <w:rPr>
          <w:rFonts w:ascii="Times New Roman" w:hAnsi="Times New Roman"/>
          <w:szCs w:val="24"/>
          <w:lang w:val="es-CL"/>
        </w:rPr>
        <w:t xml:space="preserve"> del </w:t>
      </w:r>
      <w:proofErr w:type="spellStart"/>
      <w:r w:rsidRPr="00B320C2">
        <w:rPr>
          <w:rFonts w:ascii="Times New Roman" w:hAnsi="Times New Roman"/>
          <w:szCs w:val="24"/>
          <w:lang w:val="es-CL"/>
        </w:rPr>
        <w:t>fenofibrato</w:t>
      </w:r>
      <w:proofErr w:type="spellEnd"/>
      <w:r w:rsidRPr="00B320C2">
        <w:rPr>
          <w:rFonts w:ascii="Times New Roman" w:hAnsi="Times New Roman"/>
          <w:szCs w:val="24"/>
          <w:lang w:val="es-CL"/>
        </w:rPr>
        <w:t xml:space="preserve"> conduce a la reducción en un 25% aproximadamente del nivel de</w:t>
      </w:r>
      <w:r>
        <w:rPr>
          <w:rFonts w:ascii="Times New Roman" w:hAnsi="Times New Roman"/>
          <w:szCs w:val="24"/>
          <w:lang w:val="es-CL"/>
        </w:rPr>
        <w:t xml:space="preserve"> </w:t>
      </w:r>
      <w:r w:rsidRPr="00B320C2">
        <w:rPr>
          <w:rFonts w:ascii="Times New Roman" w:hAnsi="Times New Roman"/>
          <w:szCs w:val="24"/>
          <w:lang w:val="es-CL"/>
        </w:rPr>
        <w:t xml:space="preserve">ácido úrico, reducción que puede beneficiar a los pacientes </w:t>
      </w:r>
      <w:proofErr w:type="spellStart"/>
      <w:r w:rsidRPr="00B320C2">
        <w:rPr>
          <w:rFonts w:ascii="Times New Roman" w:hAnsi="Times New Roman"/>
          <w:szCs w:val="24"/>
          <w:lang w:val="es-CL"/>
        </w:rPr>
        <w:t>dislipidémicos</w:t>
      </w:r>
      <w:proofErr w:type="spellEnd"/>
      <w:r w:rsidRPr="00B320C2">
        <w:rPr>
          <w:rFonts w:ascii="Times New Roman" w:hAnsi="Times New Roman"/>
          <w:szCs w:val="24"/>
          <w:lang w:val="es-CL"/>
        </w:rPr>
        <w:t xml:space="preserve"> con hiperuricemia.</w:t>
      </w:r>
    </w:p>
    <w:p w:rsidR="002870F3" w:rsidRDefault="002870F3" w:rsidP="002870F3">
      <w:pPr>
        <w:spacing w:line="240" w:lineRule="atLeast"/>
        <w:jc w:val="both"/>
        <w:rPr>
          <w:rFonts w:ascii="Times New Roman" w:hAnsi="Times New Roman"/>
          <w:szCs w:val="24"/>
          <w:lang w:val="es-CL"/>
        </w:rPr>
      </w:pPr>
    </w:p>
    <w:p w:rsidR="002870F3" w:rsidRPr="00890B91" w:rsidRDefault="002870F3" w:rsidP="002870F3">
      <w:pPr>
        <w:spacing w:line="240" w:lineRule="atLeast"/>
        <w:jc w:val="both"/>
        <w:rPr>
          <w:rFonts w:ascii="Times New Roman" w:hAnsi="Times New Roman"/>
          <w:szCs w:val="24"/>
          <w:lang w:val="es-CL"/>
        </w:rPr>
      </w:pPr>
      <w:r w:rsidRPr="00B320C2">
        <w:rPr>
          <w:rFonts w:ascii="Times New Roman" w:hAnsi="Times New Roman"/>
          <w:szCs w:val="24"/>
          <w:lang w:val="es-CL"/>
        </w:rPr>
        <w:t xml:space="preserve">Se ha demostrado un efecto </w:t>
      </w:r>
      <w:proofErr w:type="spellStart"/>
      <w:r w:rsidRPr="00B320C2">
        <w:rPr>
          <w:rFonts w:ascii="Times New Roman" w:hAnsi="Times New Roman"/>
          <w:szCs w:val="24"/>
          <w:lang w:val="es-CL"/>
        </w:rPr>
        <w:t>antiagregante</w:t>
      </w:r>
      <w:proofErr w:type="spellEnd"/>
      <w:r w:rsidRPr="00B320C2">
        <w:rPr>
          <w:rFonts w:ascii="Times New Roman" w:hAnsi="Times New Roman"/>
          <w:szCs w:val="24"/>
          <w:lang w:val="es-CL"/>
        </w:rPr>
        <w:t xml:space="preserve"> plaquetario del </w:t>
      </w:r>
      <w:proofErr w:type="spellStart"/>
      <w:r w:rsidRPr="00B320C2">
        <w:rPr>
          <w:rFonts w:ascii="Times New Roman" w:hAnsi="Times New Roman"/>
          <w:szCs w:val="24"/>
          <w:lang w:val="es-CL"/>
        </w:rPr>
        <w:t>fenofibrato</w:t>
      </w:r>
      <w:proofErr w:type="spellEnd"/>
      <w:r w:rsidRPr="00B320C2">
        <w:rPr>
          <w:rFonts w:ascii="Times New Roman" w:hAnsi="Times New Roman"/>
          <w:szCs w:val="24"/>
          <w:lang w:val="es-CL"/>
        </w:rPr>
        <w:t xml:space="preserve"> en animales y también en el hombre</w:t>
      </w:r>
      <w:r>
        <w:rPr>
          <w:rFonts w:ascii="Times New Roman" w:hAnsi="Times New Roman"/>
          <w:szCs w:val="24"/>
          <w:lang w:val="es-CL"/>
        </w:rPr>
        <w:t xml:space="preserve"> </w:t>
      </w:r>
      <w:r w:rsidRPr="00B320C2">
        <w:rPr>
          <w:rFonts w:ascii="Times New Roman" w:hAnsi="Times New Roman"/>
          <w:szCs w:val="24"/>
          <w:lang w:val="es-CL"/>
        </w:rPr>
        <w:t>en el curso de un estudio clínico. Se manifiesta por una disminución de la agregación plaquetaria inducida</w:t>
      </w:r>
      <w:r>
        <w:rPr>
          <w:rFonts w:ascii="Times New Roman" w:hAnsi="Times New Roman"/>
          <w:szCs w:val="24"/>
          <w:lang w:val="es-CL"/>
        </w:rPr>
        <w:t xml:space="preserve"> </w:t>
      </w:r>
      <w:r w:rsidRPr="00B320C2">
        <w:rPr>
          <w:rFonts w:ascii="Times New Roman" w:hAnsi="Times New Roman"/>
          <w:szCs w:val="24"/>
          <w:lang w:val="es-CL"/>
        </w:rPr>
        <w:t>por ADP, ácido araquidónico y epinefrina.</w:t>
      </w:r>
    </w:p>
    <w:p w:rsidR="002870F3" w:rsidRPr="00890B91" w:rsidRDefault="002870F3" w:rsidP="002870F3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hAnsi="Times New Roman"/>
          <w:szCs w:val="24"/>
          <w:lang w:val="es-CL"/>
        </w:rPr>
      </w:pPr>
    </w:p>
    <w:p w:rsidR="002870F3" w:rsidRPr="00890B91" w:rsidRDefault="002870F3" w:rsidP="002870F3">
      <w:pPr>
        <w:spacing w:line="240" w:lineRule="atLeast"/>
        <w:jc w:val="both"/>
        <w:rPr>
          <w:rFonts w:ascii="Times New Roman" w:hAnsi="Times New Roman"/>
          <w:b/>
          <w:szCs w:val="24"/>
        </w:rPr>
      </w:pPr>
      <w:r w:rsidRPr="00890B91">
        <w:rPr>
          <w:rFonts w:ascii="Times New Roman" w:hAnsi="Times New Roman"/>
          <w:b/>
          <w:szCs w:val="24"/>
        </w:rPr>
        <w:t>PERFIL FARMACOCIN</w:t>
      </w:r>
      <w:r>
        <w:rPr>
          <w:rFonts w:ascii="Times New Roman" w:hAnsi="Times New Roman"/>
          <w:b/>
          <w:szCs w:val="24"/>
        </w:rPr>
        <w:t>É</w:t>
      </w:r>
      <w:r w:rsidRPr="00890B91">
        <w:rPr>
          <w:rFonts w:ascii="Times New Roman" w:hAnsi="Times New Roman"/>
          <w:b/>
          <w:szCs w:val="24"/>
        </w:rPr>
        <w:t>TICO</w:t>
      </w:r>
    </w:p>
    <w:p w:rsidR="002870F3" w:rsidRPr="00890B91" w:rsidRDefault="002870F3" w:rsidP="002870F3">
      <w:pPr>
        <w:spacing w:line="240" w:lineRule="atLeast"/>
        <w:jc w:val="both"/>
        <w:rPr>
          <w:rFonts w:ascii="Times New Roman" w:hAnsi="Times New Roman"/>
          <w:b/>
          <w:szCs w:val="24"/>
        </w:rPr>
      </w:pPr>
    </w:p>
    <w:p w:rsidR="002870F3" w:rsidRDefault="002870F3" w:rsidP="002870F3">
      <w:pPr>
        <w:spacing w:line="240" w:lineRule="atLeast"/>
        <w:jc w:val="both"/>
        <w:rPr>
          <w:rFonts w:ascii="Times New Roman" w:hAnsi="Times New Roman"/>
          <w:b/>
          <w:szCs w:val="24"/>
        </w:rPr>
      </w:pPr>
      <w:r w:rsidRPr="00890B91">
        <w:rPr>
          <w:rFonts w:ascii="Times New Roman" w:hAnsi="Times New Roman"/>
          <w:b/>
          <w:szCs w:val="24"/>
        </w:rPr>
        <w:t>Absorción:</w:t>
      </w:r>
      <w:r>
        <w:rPr>
          <w:rFonts w:ascii="Times New Roman" w:hAnsi="Times New Roman"/>
          <w:b/>
          <w:szCs w:val="24"/>
        </w:rPr>
        <w:t xml:space="preserve"> </w:t>
      </w:r>
    </w:p>
    <w:p w:rsidR="002870F3" w:rsidRPr="00B320C2" w:rsidRDefault="002870F3" w:rsidP="002870F3">
      <w:pPr>
        <w:spacing w:line="240" w:lineRule="atLeast"/>
        <w:jc w:val="both"/>
        <w:rPr>
          <w:rFonts w:ascii="Times New Roman" w:hAnsi="Times New Roman"/>
          <w:szCs w:val="24"/>
        </w:rPr>
      </w:pPr>
      <w:r w:rsidRPr="00B320C2">
        <w:rPr>
          <w:rFonts w:ascii="Times New Roman" w:hAnsi="Times New Roman"/>
          <w:szCs w:val="24"/>
        </w:rPr>
        <w:t>La concentración plasmática máxima (</w:t>
      </w:r>
      <w:proofErr w:type="spellStart"/>
      <w:r w:rsidRPr="00B320C2">
        <w:rPr>
          <w:rFonts w:ascii="Times New Roman" w:hAnsi="Times New Roman"/>
          <w:szCs w:val="24"/>
        </w:rPr>
        <w:t>Cmax</w:t>
      </w:r>
      <w:proofErr w:type="spellEnd"/>
      <w:r w:rsidRPr="00B320C2">
        <w:rPr>
          <w:rFonts w:ascii="Times New Roman" w:hAnsi="Times New Roman"/>
          <w:szCs w:val="24"/>
        </w:rPr>
        <w:t>) se alcanza entre las 4 y 5 horas después de la administración</w:t>
      </w:r>
      <w:r>
        <w:rPr>
          <w:rFonts w:ascii="Times New Roman" w:hAnsi="Times New Roman"/>
          <w:szCs w:val="24"/>
        </w:rPr>
        <w:t xml:space="preserve"> </w:t>
      </w:r>
      <w:r w:rsidRPr="00B320C2">
        <w:rPr>
          <w:rFonts w:ascii="Times New Roman" w:hAnsi="Times New Roman"/>
          <w:szCs w:val="24"/>
        </w:rPr>
        <w:t>oral. Para un mismo individuo, las concentraciones plasmáticas permanecen estables en tratamientos</w:t>
      </w:r>
      <w:r>
        <w:rPr>
          <w:rFonts w:ascii="Times New Roman" w:hAnsi="Times New Roman"/>
          <w:szCs w:val="24"/>
        </w:rPr>
        <w:t xml:space="preserve"> </w:t>
      </w:r>
      <w:r w:rsidRPr="00B320C2">
        <w:rPr>
          <w:rFonts w:ascii="Times New Roman" w:hAnsi="Times New Roman"/>
          <w:szCs w:val="24"/>
        </w:rPr>
        <w:t>continuos.</w:t>
      </w:r>
    </w:p>
    <w:p w:rsidR="002870F3" w:rsidRPr="00890B91" w:rsidRDefault="002870F3" w:rsidP="002870F3">
      <w:pPr>
        <w:spacing w:line="240" w:lineRule="atLeast"/>
        <w:jc w:val="both"/>
        <w:rPr>
          <w:rFonts w:ascii="Times New Roman" w:hAnsi="Times New Roman"/>
          <w:szCs w:val="24"/>
        </w:rPr>
      </w:pPr>
      <w:r w:rsidRPr="00B320C2">
        <w:rPr>
          <w:rFonts w:ascii="Times New Roman" w:hAnsi="Times New Roman"/>
          <w:szCs w:val="24"/>
        </w:rPr>
        <w:t xml:space="preserve">La absorción del </w:t>
      </w:r>
      <w:proofErr w:type="spellStart"/>
      <w:r w:rsidRPr="00B320C2">
        <w:rPr>
          <w:rFonts w:ascii="Times New Roman" w:hAnsi="Times New Roman"/>
          <w:szCs w:val="24"/>
        </w:rPr>
        <w:t>fenofibrato</w:t>
      </w:r>
      <w:proofErr w:type="spellEnd"/>
      <w:r w:rsidRPr="00B320C2">
        <w:rPr>
          <w:rFonts w:ascii="Times New Roman" w:hAnsi="Times New Roman"/>
          <w:szCs w:val="24"/>
        </w:rPr>
        <w:t xml:space="preserve"> aumenta cuando se administra con alimentos.</w:t>
      </w:r>
      <w:r w:rsidRPr="00B320C2">
        <w:rPr>
          <w:rFonts w:ascii="Times New Roman" w:hAnsi="Times New Roman"/>
          <w:szCs w:val="24"/>
        </w:rPr>
        <w:cr/>
      </w:r>
    </w:p>
    <w:p w:rsidR="002870F3" w:rsidRPr="00890B91" w:rsidRDefault="002870F3" w:rsidP="002870F3">
      <w:pPr>
        <w:spacing w:line="240" w:lineRule="atLeast"/>
        <w:jc w:val="both"/>
        <w:rPr>
          <w:rFonts w:ascii="Times New Roman" w:hAnsi="Times New Roman"/>
          <w:szCs w:val="24"/>
        </w:rPr>
      </w:pPr>
      <w:r w:rsidRPr="00890B91">
        <w:rPr>
          <w:rFonts w:ascii="Times New Roman" w:hAnsi="Times New Roman"/>
          <w:b/>
          <w:szCs w:val="24"/>
        </w:rPr>
        <w:t>Distribución:</w:t>
      </w:r>
      <w:r w:rsidRPr="00890B91">
        <w:rPr>
          <w:rFonts w:ascii="Times New Roman" w:hAnsi="Times New Roman"/>
          <w:szCs w:val="24"/>
        </w:rPr>
        <w:t xml:space="preserve"> </w:t>
      </w:r>
    </w:p>
    <w:p w:rsidR="002870F3" w:rsidRPr="00B320C2" w:rsidRDefault="002870F3" w:rsidP="002870F3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hAnsi="Times New Roman"/>
          <w:szCs w:val="24"/>
        </w:rPr>
      </w:pPr>
      <w:r w:rsidRPr="00B320C2">
        <w:rPr>
          <w:rFonts w:ascii="Times New Roman" w:hAnsi="Times New Roman"/>
          <w:szCs w:val="24"/>
        </w:rPr>
        <w:t xml:space="preserve">El ácido </w:t>
      </w:r>
      <w:proofErr w:type="spellStart"/>
      <w:r w:rsidRPr="00B320C2">
        <w:rPr>
          <w:rFonts w:ascii="Times New Roman" w:hAnsi="Times New Roman"/>
          <w:szCs w:val="24"/>
        </w:rPr>
        <w:t>fenofíbrico</w:t>
      </w:r>
      <w:proofErr w:type="spellEnd"/>
      <w:r w:rsidRPr="00B320C2">
        <w:rPr>
          <w:rFonts w:ascii="Times New Roman" w:hAnsi="Times New Roman"/>
          <w:szCs w:val="24"/>
        </w:rPr>
        <w:t xml:space="preserve"> está fuertemente asociado a la albúmina plasmática (más del 99%).</w:t>
      </w:r>
    </w:p>
    <w:p w:rsidR="002870F3" w:rsidRDefault="002870F3" w:rsidP="002870F3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hAnsi="Times New Roman"/>
          <w:b/>
          <w:szCs w:val="24"/>
        </w:rPr>
      </w:pPr>
    </w:p>
    <w:p w:rsidR="002870F3" w:rsidRPr="00890B91" w:rsidRDefault="002870F3" w:rsidP="002870F3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hAnsi="Times New Roman"/>
          <w:b/>
          <w:szCs w:val="24"/>
        </w:rPr>
      </w:pPr>
      <w:r w:rsidRPr="00890B91">
        <w:rPr>
          <w:rFonts w:ascii="Times New Roman" w:hAnsi="Times New Roman"/>
          <w:b/>
          <w:szCs w:val="24"/>
        </w:rPr>
        <w:t>Metabolismo</w:t>
      </w:r>
      <w:r>
        <w:rPr>
          <w:rFonts w:ascii="Times New Roman" w:hAnsi="Times New Roman"/>
          <w:b/>
          <w:szCs w:val="24"/>
        </w:rPr>
        <w:t xml:space="preserve"> y excreción</w:t>
      </w:r>
      <w:r w:rsidRPr="00890B91">
        <w:rPr>
          <w:rFonts w:ascii="Times New Roman" w:hAnsi="Times New Roman"/>
          <w:b/>
          <w:szCs w:val="24"/>
        </w:rPr>
        <w:t xml:space="preserve">: </w:t>
      </w:r>
    </w:p>
    <w:p w:rsidR="002870F3" w:rsidRPr="00B97AFF" w:rsidRDefault="002870F3" w:rsidP="002870F3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hAnsi="Times New Roman"/>
          <w:szCs w:val="24"/>
        </w:rPr>
      </w:pPr>
      <w:r w:rsidRPr="00B97AFF">
        <w:rPr>
          <w:rFonts w:ascii="Times New Roman" w:hAnsi="Times New Roman"/>
          <w:szCs w:val="24"/>
        </w:rPr>
        <w:t xml:space="preserve">Después de la administración oral, el </w:t>
      </w:r>
      <w:proofErr w:type="spellStart"/>
      <w:r w:rsidRPr="00B97AFF">
        <w:rPr>
          <w:rFonts w:ascii="Times New Roman" w:hAnsi="Times New Roman"/>
          <w:szCs w:val="24"/>
        </w:rPr>
        <w:t>fenofibrato</w:t>
      </w:r>
      <w:proofErr w:type="spellEnd"/>
      <w:r w:rsidRPr="00B97AFF">
        <w:rPr>
          <w:rFonts w:ascii="Times New Roman" w:hAnsi="Times New Roman"/>
          <w:szCs w:val="24"/>
        </w:rPr>
        <w:t xml:space="preserve"> se hidroliza rápidamente por </w:t>
      </w:r>
      <w:proofErr w:type="spellStart"/>
      <w:r w:rsidRPr="00B97AFF">
        <w:rPr>
          <w:rFonts w:ascii="Times New Roman" w:hAnsi="Times New Roman"/>
          <w:szCs w:val="24"/>
        </w:rPr>
        <w:t>esterasas</w:t>
      </w:r>
      <w:proofErr w:type="spellEnd"/>
      <w:r w:rsidRPr="00B97AFF">
        <w:rPr>
          <w:rFonts w:ascii="Times New Roman" w:hAnsi="Times New Roman"/>
          <w:szCs w:val="24"/>
        </w:rPr>
        <w:t xml:space="preserve"> al</w:t>
      </w:r>
      <w:r>
        <w:rPr>
          <w:rFonts w:ascii="Times New Roman" w:hAnsi="Times New Roman"/>
          <w:szCs w:val="24"/>
        </w:rPr>
        <w:t xml:space="preserve"> </w:t>
      </w:r>
      <w:r w:rsidRPr="00B97AFF">
        <w:rPr>
          <w:rFonts w:ascii="Times New Roman" w:hAnsi="Times New Roman"/>
          <w:szCs w:val="24"/>
        </w:rPr>
        <w:t xml:space="preserve">metabolito farmacológicamente activo, el ácido </w:t>
      </w:r>
      <w:proofErr w:type="spellStart"/>
      <w:r w:rsidRPr="00B97AFF">
        <w:rPr>
          <w:rFonts w:ascii="Times New Roman" w:hAnsi="Times New Roman"/>
          <w:szCs w:val="24"/>
        </w:rPr>
        <w:t>fenofíbrico</w:t>
      </w:r>
      <w:proofErr w:type="spellEnd"/>
      <w:r w:rsidRPr="00B97AFF">
        <w:rPr>
          <w:rFonts w:ascii="Times New Roman" w:hAnsi="Times New Roman"/>
          <w:szCs w:val="24"/>
        </w:rPr>
        <w:t xml:space="preserve">. No puede detectarse </w:t>
      </w:r>
      <w:proofErr w:type="spellStart"/>
      <w:r w:rsidRPr="00B97AFF">
        <w:rPr>
          <w:rFonts w:ascii="Times New Roman" w:hAnsi="Times New Roman"/>
          <w:szCs w:val="24"/>
        </w:rPr>
        <w:t>fenofibrato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Pr="00B97AFF">
        <w:rPr>
          <w:rFonts w:ascii="Times New Roman" w:hAnsi="Times New Roman"/>
          <w:szCs w:val="24"/>
        </w:rPr>
        <w:t xml:space="preserve">inalterado en el plasma. El </w:t>
      </w:r>
      <w:proofErr w:type="spellStart"/>
      <w:r w:rsidRPr="00B97AFF">
        <w:rPr>
          <w:rFonts w:ascii="Times New Roman" w:hAnsi="Times New Roman"/>
          <w:szCs w:val="24"/>
        </w:rPr>
        <w:t>fenofibrato</w:t>
      </w:r>
      <w:proofErr w:type="spellEnd"/>
      <w:r w:rsidRPr="00B97AFF">
        <w:rPr>
          <w:rFonts w:ascii="Times New Roman" w:hAnsi="Times New Roman"/>
          <w:szCs w:val="24"/>
        </w:rPr>
        <w:t xml:space="preserve"> no es un sustrato para la </w:t>
      </w:r>
      <w:proofErr w:type="spellStart"/>
      <w:r w:rsidRPr="00B97AFF">
        <w:rPr>
          <w:rFonts w:ascii="Times New Roman" w:hAnsi="Times New Roman"/>
          <w:szCs w:val="24"/>
        </w:rPr>
        <w:t>isoforma</w:t>
      </w:r>
      <w:proofErr w:type="spellEnd"/>
      <w:r w:rsidRPr="00B97AFF">
        <w:rPr>
          <w:rFonts w:ascii="Times New Roman" w:hAnsi="Times New Roman"/>
          <w:szCs w:val="24"/>
        </w:rPr>
        <w:t xml:space="preserve"> CYP 3A4. No hay</w:t>
      </w:r>
      <w:r>
        <w:rPr>
          <w:rFonts w:ascii="Times New Roman" w:hAnsi="Times New Roman"/>
          <w:szCs w:val="24"/>
        </w:rPr>
        <w:t xml:space="preserve"> </w:t>
      </w:r>
      <w:r w:rsidRPr="00B97AFF">
        <w:rPr>
          <w:rFonts w:ascii="Times New Roman" w:hAnsi="Times New Roman"/>
          <w:szCs w:val="24"/>
        </w:rPr>
        <w:t xml:space="preserve">implicación de metabolismo hepático </w:t>
      </w:r>
      <w:proofErr w:type="spellStart"/>
      <w:r w:rsidRPr="00B97AFF">
        <w:rPr>
          <w:rFonts w:ascii="Times New Roman" w:hAnsi="Times New Roman"/>
          <w:szCs w:val="24"/>
        </w:rPr>
        <w:t>microsomal</w:t>
      </w:r>
      <w:proofErr w:type="spellEnd"/>
      <w:r w:rsidRPr="00B97AFF">
        <w:rPr>
          <w:rFonts w:ascii="Times New Roman" w:hAnsi="Times New Roman"/>
          <w:szCs w:val="24"/>
        </w:rPr>
        <w:t>.</w:t>
      </w:r>
    </w:p>
    <w:p w:rsidR="002870F3" w:rsidRPr="00B97AFF" w:rsidRDefault="002870F3" w:rsidP="002870F3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hAnsi="Times New Roman"/>
          <w:szCs w:val="24"/>
        </w:rPr>
      </w:pPr>
      <w:r w:rsidRPr="00B97AFF">
        <w:rPr>
          <w:rFonts w:ascii="Times New Roman" w:hAnsi="Times New Roman"/>
          <w:szCs w:val="24"/>
        </w:rPr>
        <w:t>El fármaco se excreta principalmente por vía urinaria. La casi totalidad del producto se elimina en</w:t>
      </w:r>
      <w:r>
        <w:rPr>
          <w:rFonts w:ascii="Times New Roman" w:hAnsi="Times New Roman"/>
          <w:szCs w:val="24"/>
        </w:rPr>
        <w:t xml:space="preserve"> </w:t>
      </w:r>
      <w:r w:rsidRPr="00B97AFF">
        <w:rPr>
          <w:rFonts w:ascii="Times New Roman" w:hAnsi="Times New Roman"/>
          <w:szCs w:val="24"/>
        </w:rPr>
        <w:t xml:space="preserve">6 días. El </w:t>
      </w:r>
      <w:proofErr w:type="spellStart"/>
      <w:r w:rsidRPr="00B97AFF">
        <w:rPr>
          <w:rFonts w:ascii="Times New Roman" w:hAnsi="Times New Roman"/>
          <w:szCs w:val="24"/>
        </w:rPr>
        <w:t>fenofibrato</w:t>
      </w:r>
      <w:proofErr w:type="spellEnd"/>
      <w:r w:rsidRPr="00B97AFF">
        <w:rPr>
          <w:rFonts w:ascii="Times New Roman" w:hAnsi="Times New Roman"/>
          <w:szCs w:val="24"/>
        </w:rPr>
        <w:t xml:space="preserve"> se elimina principalmente en forma de ácido </w:t>
      </w:r>
      <w:proofErr w:type="spellStart"/>
      <w:r w:rsidRPr="00B97AFF">
        <w:rPr>
          <w:rFonts w:ascii="Times New Roman" w:hAnsi="Times New Roman"/>
          <w:szCs w:val="24"/>
        </w:rPr>
        <w:t>fenofíbrico</w:t>
      </w:r>
      <w:proofErr w:type="spellEnd"/>
      <w:r w:rsidRPr="00B97AFF">
        <w:rPr>
          <w:rFonts w:ascii="Times New Roman" w:hAnsi="Times New Roman"/>
          <w:szCs w:val="24"/>
        </w:rPr>
        <w:t xml:space="preserve"> y de su conjugado</w:t>
      </w:r>
      <w:r>
        <w:rPr>
          <w:rFonts w:ascii="Times New Roman" w:hAnsi="Times New Roman"/>
          <w:szCs w:val="24"/>
        </w:rPr>
        <w:t xml:space="preserve"> </w:t>
      </w:r>
      <w:proofErr w:type="spellStart"/>
      <w:r w:rsidRPr="00B97AFF">
        <w:rPr>
          <w:rFonts w:ascii="Times New Roman" w:hAnsi="Times New Roman"/>
          <w:szCs w:val="24"/>
        </w:rPr>
        <w:t>glucurónido</w:t>
      </w:r>
      <w:proofErr w:type="spellEnd"/>
      <w:r w:rsidRPr="00B97AFF">
        <w:rPr>
          <w:rFonts w:ascii="Times New Roman" w:hAnsi="Times New Roman"/>
          <w:szCs w:val="24"/>
        </w:rPr>
        <w:t>. En pacientes ancianos, el aclaramiento plasmático total aparente del ácido</w:t>
      </w:r>
      <w:r>
        <w:rPr>
          <w:rFonts w:ascii="Times New Roman" w:hAnsi="Times New Roman"/>
          <w:szCs w:val="24"/>
        </w:rPr>
        <w:t xml:space="preserve"> </w:t>
      </w:r>
      <w:proofErr w:type="spellStart"/>
      <w:r w:rsidRPr="00B97AFF">
        <w:rPr>
          <w:rFonts w:ascii="Times New Roman" w:hAnsi="Times New Roman"/>
          <w:szCs w:val="24"/>
        </w:rPr>
        <w:t>fenofíbrico</w:t>
      </w:r>
      <w:proofErr w:type="spellEnd"/>
      <w:r w:rsidRPr="00B97AFF">
        <w:rPr>
          <w:rFonts w:ascii="Times New Roman" w:hAnsi="Times New Roman"/>
          <w:szCs w:val="24"/>
        </w:rPr>
        <w:t xml:space="preserve"> no está modificado.</w:t>
      </w:r>
    </w:p>
    <w:p w:rsidR="002870F3" w:rsidRPr="00B97AFF" w:rsidRDefault="002870F3" w:rsidP="002870F3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hAnsi="Times New Roman"/>
          <w:szCs w:val="24"/>
        </w:rPr>
      </w:pPr>
      <w:r w:rsidRPr="00B97AFF">
        <w:rPr>
          <w:rFonts w:ascii="Times New Roman" w:hAnsi="Times New Roman"/>
          <w:szCs w:val="24"/>
        </w:rPr>
        <w:t>Los estudios cinéticos realizados tras la administración de una dosis única y tratamiento</w:t>
      </w:r>
      <w:r>
        <w:rPr>
          <w:rFonts w:ascii="Times New Roman" w:hAnsi="Times New Roman"/>
          <w:szCs w:val="24"/>
        </w:rPr>
        <w:t xml:space="preserve"> </w:t>
      </w:r>
      <w:r w:rsidRPr="00B97AFF">
        <w:rPr>
          <w:rFonts w:ascii="Times New Roman" w:hAnsi="Times New Roman"/>
          <w:szCs w:val="24"/>
        </w:rPr>
        <w:t xml:space="preserve">continuo han demostrado que el fármaco no se acumula. El ácido </w:t>
      </w:r>
      <w:proofErr w:type="spellStart"/>
      <w:r w:rsidRPr="00B97AFF">
        <w:rPr>
          <w:rFonts w:ascii="Times New Roman" w:hAnsi="Times New Roman"/>
          <w:szCs w:val="24"/>
        </w:rPr>
        <w:t>fenofíbrico</w:t>
      </w:r>
      <w:proofErr w:type="spellEnd"/>
      <w:r w:rsidRPr="00B97AFF">
        <w:rPr>
          <w:rFonts w:ascii="Times New Roman" w:hAnsi="Times New Roman"/>
          <w:szCs w:val="24"/>
        </w:rPr>
        <w:t xml:space="preserve"> no se elimina por</w:t>
      </w:r>
      <w:r>
        <w:rPr>
          <w:rFonts w:ascii="Times New Roman" w:hAnsi="Times New Roman"/>
          <w:szCs w:val="24"/>
        </w:rPr>
        <w:t xml:space="preserve"> </w:t>
      </w:r>
      <w:r w:rsidRPr="00B97AFF">
        <w:rPr>
          <w:rFonts w:ascii="Times New Roman" w:hAnsi="Times New Roman"/>
          <w:szCs w:val="24"/>
        </w:rPr>
        <w:t>hemodiálisis.</w:t>
      </w:r>
    </w:p>
    <w:p w:rsidR="002870F3" w:rsidRDefault="002870F3" w:rsidP="002870F3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hAnsi="Times New Roman"/>
          <w:szCs w:val="24"/>
        </w:rPr>
      </w:pPr>
      <w:r w:rsidRPr="00B97AFF">
        <w:rPr>
          <w:rFonts w:ascii="Times New Roman" w:hAnsi="Times New Roman"/>
          <w:szCs w:val="24"/>
        </w:rPr>
        <w:t xml:space="preserve">La </w:t>
      </w:r>
      <w:proofErr w:type="spellStart"/>
      <w:r w:rsidRPr="00B97AFF">
        <w:rPr>
          <w:rFonts w:ascii="Times New Roman" w:hAnsi="Times New Roman"/>
          <w:szCs w:val="24"/>
        </w:rPr>
        <w:t>semi</w:t>
      </w:r>
      <w:proofErr w:type="spellEnd"/>
      <w:r w:rsidRPr="00B97AFF">
        <w:rPr>
          <w:rFonts w:ascii="Times New Roman" w:hAnsi="Times New Roman"/>
          <w:szCs w:val="24"/>
        </w:rPr>
        <w:t xml:space="preserve">-vida plasmática de eliminación del ácido </w:t>
      </w:r>
      <w:proofErr w:type="spellStart"/>
      <w:r w:rsidRPr="00B97AFF">
        <w:rPr>
          <w:rFonts w:ascii="Times New Roman" w:hAnsi="Times New Roman"/>
          <w:szCs w:val="24"/>
        </w:rPr>
        <w:t>fenofíbrico</w:t>
      </w:r>
      <w:proofErr w:type="spellEnd"/>
      <w:r w:rsidRPr="00B97AFF">
        <w:rPr>
          <w:rFonts w:ascii="Times New Roman" w:hAnsi="Times New Roman"/>
          <w:szCs w:val="24"/>
        </w:rPr>
        <w:t xml:space="preserve"> es de aproximadamente 20 horas.</w:t>
      </w:r>
    </w:p>
    <w:p w:rsidR="002870F3" w:rsidRPr="00890B91" w:rsidRDefault="002870F3" w:rsidP="002870F3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hAnsi="Times New Roman"/>
          <w:b/>
          <w:szCs w:val="24"/>
        </w:rPr>
      </w:pPr>
    </w:p>
    <w:p w:rsidR="002870F3" w:rsidRPr="00890B91" w:rsidRDefault="002870F3" w:rsidP="002870F3">
      <w:pPr>
        <w:spacing w:line="240" w:lineRule="atLeast"/>
        <w:jc w:val="both"/>
        <w:rPr>
          <w:rFonts w:ascii="Times New Roman" w:hAnsi="Times New Roman"/>
          <w:b/>
          <w:szCs w:val="24"/>
        </w:rPr>
      </w:pPr>
      <w:r w:rsidRPr="00890B91">
        <w:rPr>
          <w:rFonts w:ascii="Times New Roman" w:hAnsi="Times New Roman"/>
          <w:b/>
          <w:szCs w:val="24"/>
        </w:rPr>
        <w:t>INDICACIONES CLÍNICAS</w:t>
      </w:r>
    </w:p>
    <w:p w:rsidR="002870F3" w:rsidRPr="00234AFE" w:rsidRDefault="002870F3" w:rsidP="002870F3">
      <w:pPr>
        <w:spacing w:line="240" w:lineRule="atLeas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FIBROLOW </w:t>
      </w:r>
      <w:proofErr w:type="spellStart"/>
      <w:r>
        <w:rPr>
          <w:rFonts w:ascii="Times New Roman" w:hAnsi="Times New Roman"/>
          <w:szCs w:val="24"/>
        </w:rPr>
        <w:t>Lidose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Pr="00234AFE">
        <w:rPr>
          <w:rFonts w:ascii="Times New Roman" w:hAnsi="Times New Roman"/>
          <w:szCs w:val="24"/>
        </w:rPr>
        <w:t xml:space="preserve">está indicado como complemento de la dieta y </w:t>
      </w:r>
      <w:r>
        <w:rPr>
          <w:rFonts w:ascii="Times New Roman" w:hAnsi="Times New Roman"/>
          <w:szCs w:val="24"/>
        </w:rPr>
        <w:t xml:space="preserve">del manejo </w:t>
      </w:r>
      <w:r w:rsidRPr="00234AFE">
        <w:rPr>
          <w:rFonts w:ascii="Times New Roman" w:hAnsi="Times New Roman"/>
          <w:szCs w:val="24"/>
        </w:rPr>
        <w:t>no</w:t>
      </w:r>
      <w:r>
        <w:rPr>
          <w:rFonts w:ascii="Times New Roman" w:hAnsi="Times New Roman"/>
          <w:szCs w:val="24"/>
        </w:rPr>
        <w:t xml:space="preserve"> </w:t>
      </w:r>
      <w:r w:rsidRPr="00234AFE">
        <w:rPr>
          <w:rFonts w:ascii="Times New Roman" w:hAnsi="Times New Roman"/>
          <w:szCs w:val="24"/>
        </w:rPr>
        <w:t>farmacológico (</w:t>
      </w:r>
      <w:r>
        <w:rPr>
          <w:rFonts w:ascii="Times New Roman" w:hAnsi="Times New Roman"/>
          <w:szCs w:val="24"/>
        </w:rPr>
        <w:t>como</w:t>
      </w:r>
      <w:r w:rsidRPr="00234AFE">
        <w:rPr>
          <w:rFonts w:ascii="Times New Roman" w:hAnsi="Times New Roman"/>
          <w:szCs w:val="24"/>
        </w:rPr>
        <w:t xml:space="preserve"> ejercicio, reducción de peso) </w:t>
      </w:r>
      <w:r>
        <w:rPr>
          <w:rFonts w:ascii="Times New Roman" w:hAnsi="Times New Roman"/>
          <w:szCs w:val="24"/>
        </w:rPr>
        <w:t>en los casos que se indica</w:t>
      </w:r>
      <w:r w:rsidRPr="00234AFE">
        <w:rPr>
          <w:rFonts w:ascii="Times New Roman" w:hAnsi="Times New Roman"/>
          <w:szCs w:val="24"/>
        </w:rPr>
        <w:t>:</w:t>
      </w:r>
    </w:p>
    <w:p w:rsidR="002870F3" w:rsidRPr="00234AFE" w:rsidRDefault="002870F3" w:rsidP="002870F3">
      <w:pPr>
        <w:numPr>
          <w:ilvl w:val="0"/>
          <w:numId w:val="3"/>
        </w:numPr>
        <w:spacing w:line="240" w:lineRule="atLeast"/>
        <w:ind w:left="426"/>
        <w:jc w:val="both"/>
        <w:rPr>
          <w:rFonts w:ascii="Times New Roman" w:hAnsi="Times New Roman"/>
          <w:szCs w:val="24"/>
        </w:rPr>
      </w:pPr>
      <w:r w:rsidRPr="00234AFE">
        <w:rPr>
          <w:rFonts w:ascii="Times New Roman" w:hAnsi="Times New Roman"/>
          <w:szCs w:val="24"/>
        </w:rPr>
        <w:t xml:space="preserve">Tratamiento de la </w:t>
      </w:r>
      <w:proofErr w:type="spellStart"/>
      <w:r w:rsidRPr="00234AFE">
        <w:rPr>
          <w:rFonts w:ascii="Times New Roman" w:hAnsi="Times New Roman"/>
          <w:szCs w:val="24"/>
        </w:rPr>
        <w:t>hipertrigliceridemia</w:t>
      </w:r>
      <w:proofErr w:type="spellEnd"/>
      <w:r w:rsidRPr="00234AFE">
        <w:rPr>
          <w:rFonts w:ascii="Times New Roman" w:hAnsi="Times New Roman"/>
          <w:szCs w:val="24"/>
        </w:rPr>
        <w:t xml:space="preserve"> grave con o sin niveles </w:t>
      </w:r>
      <w:r>
        <w:rPr>
          <w:rFonts w:ascii="Times New Roman" w:hAnsi="Times New Roman"/>
          <w:szCs w:val="24"/>
        </w:rPr>
        <w:t xml:space="preserve">bajos </w:t>
      </w:r>
      <w:r w:rsidRPr="00234AFE">
        <w:rPr>
          <w:rFonts w:ascii="Times New Roman" w:hAnsi="Times New Roman"/>
          <w:szCs w:val="24"/>
        </w:rPr>
        <w:t>de colesterol HDL</w:t>
      </w:r>
      <w:r>
        <w:rPr>
          <w:rFonts w:ascii="Times New Roman" w:hAnsi="Times New Roman"/>
          <w:szCs w:val="24"/>
        </w:rPr>
        <w:t>.</w:t>
      </w:r>
    </w:p>
    <w:p w:rsidR="002870F3" w:rsidRPr="00234AFE" w:rsidRDefault="002870F3" w:rsidP="002870F3">
      <w:pPr>
        <w:numPr>
          <w:ilvl w:val="0"/>
          <w:numId w:val="3"/>
        </w:numPr>
        <w:spacing w:line="240" w:lineRule="atLeast"/>
        <w:ind w:left="426"/>
        <w:jc w:val="both"/>
        <w:rPr>
          <w:rFonts w:ascii="Times New Roman" w:hAnsi="Times New Roman"/>
          <w:szCs w:val="24"/>
        </w:rPr>
      </w:pPr>
      <w:r w:rsidRPr="00234AFE">
        <w:rPr>
          <w:rFonts w:ascii="Times New Roman" w:hAnsi="Times New Roman"/>
          <w:szCs w:val="24"/>
        </w:rPr>
        <w:t xml:space="preserve">Hiperlipidemia mixta cuando las </w:t>
      </w:r>
      <w:proofErr w:type="spellStart"/>
      <w:r w:rsidRPr="00234AFE">
        <w:rPr>
          <w:rFonts w:ascii="Times New Roman" w:hAnsi="Times New Roman"/>
          <w:szCs w:val="24"/>
        </w:rPr>
        <w:t>estatinas</w:t>
      </w:r>
      <w:proofErr w:type="spellEnd"/>
      <w:r w:rsidRPr="00234AFE">
        <w:rPr>
          <w:rFonts w:ascii="Times New Roman" w:hAnsi="Times New Roman"/>
          <w:szCs w:val="24"/>
        </w:rPr>
        <w:t xml:space="preserve"> están contraindicadas o no se</w:t>
      </w:r>
      <w:r>
        <w:rPr>
          <w:rFonts w:ascii="Times New Roman" w:hAnsi="Times New Roman"/>
          <w:szCs w:val="24"/>
        </w:rPr>
        <w:t>an</w:t>
      </w:r>
      <w:r w:rsidRPr="00234AFE">
        <w:rPr>
          <w:rFonts w:ascii="Times New Roman" w:hAnsi="Times New Roman"/>
          <w:szCs w:val="24"/>
        </w:rPr>
        <w:t xml:space="preserve"> tolera</w:t>
      </w:r>
      <w:r>
        <w:rPr>
          <w:rFonts w:ascii="Times New Roman" w:hAnsi="Times New Roman"/>
          <w:szCs w:val="24"/>
        </w:rPr>
        <w:t>das por el paciente</w:t>
      </w:r>
      <w:r w:rsidRPr="00234AFE">
        <w:rPr>
          <w:rFonts w:ascii="Times New Roman" w:hAnsi="Times New Roman"/>
          <w:szCs w:val="24"/>
        </w:rPr>
        <w:t>.</w:t>
      </w:r>
    </w:p>
    <w:p w:rsidR="002870F3" w:rsidRDefault="002870F3" w:rsidP="002870F3">
      <w:pPr>
        <w:numPr>
          <w:ilvl w:val="0"/>
          <w:numId w:val="3"/>
        </w:numPr>
        <w:spacing w:line="240" w:lineRule="atLeast"/>
        <w:ind w:left="426"/>
        <w:jc w:val="both"/>
        <w:rPr>
          <w:rFonts w:ascii="Times New Roman" w:hAnsi="Times New Roman"/>
          <w:szCs w:val="24"/>
        </w:rPr>
      </w:pPr>
      <w:r w:rsidRPr="00234AFE">
        <w:rPr>
          <w:rFonts w:ascii="Times New Roman" w:hAnsi="Times New Roman"/>
          <w:szCs w:val="24"/>
        </w:rPr>
        <w:t xml:space="preserve">Hiperlipidemia mixta </w:t>
      </w:r>
      <w:r>
        <w:rPr>
          <w:rFonts w:ascii="Times New Roman" w:hAnsi="Times New Roman"/>
          <w:szCs w:val="24"/>
        </w:rPr>
        <w:t xml:space="preserve">junto con </w:t>
      </w:r>
      <w:proofErr w:type="spellStart"/>
      <w:r>
        <w:rPr>
          <w:rFonts w:ascii="Times New Roman" w:hAnsi="Times New Roman"/>
          <w:szCs w:val="24"/>
        </w:rPr>
        <w:t>estatina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Pr="00234AFE">
        <w:rPr>
          <w:rFonts w:ascii="Times New Roman" w:hAnsi="Times New Roman"/>
          <w:szCs w:val="24"/>
        </w:rPr>
        <w:t>en pacientes con alto riesgo cardiovascular</w:t>
      </w:r>
      <w:r>
        <w:rPr>
          <w:rFonts w:ascii="Times New Roman" w:hAnsi="Times New Roman"/>
          <w:szCs w:val="24"/>
        </w:rPr>
        <w:t>, en los cuales no se ha logrado controlar adecuadamente</w:t>
      </w:r>
      <w:r w:rsidRPr="00234AFE">
        <w:rPr>
          <w:rFonts w:ascii="Times New Roman" w:hAnsi="Times New Roman"/>
          <w:szCs w:val="24"/>
        </w:rPr>
        <w:t xml:space="preserve"> los</w:t>
      </w:r>
      <w:r>
        <w:rPr>
          <w:rFonts w:ascii="Times New Roman" w:hAnsi="Times New Roman"/>
          <w:szCs w:val="24"/>
        </w:rPr>
        <w:t xml:space="preserve"> </w:t>
      </w:r>
      <w:r w:rsidRPr="00234AFE">
        <w:rPr>
          <w:rFonts w:ascii="Times New Roman" w:hAnsi="Times New Roman"/>
          <w:szCs w:val="24"/>
        </w:rPr>
        <w:t>triglicéridos y el colesterol</w:t>
      </w:r>
      <w:r>
        <w:rPr>
          <w:rFonts w:ascii="Times New Roman" w:hAnsi="Times New Roman"/>
          <w:szCs w:val="24"/>
        </w:rPr>
        <w:t xml:space="preserve"> HDL</w:t>
      </w:r>
      <w:r w:rsidRPr="00234AFE">
        <w:rPr>
          <w:rFonts w:ascii="Times New Roman" w:hAnsi="Times New Roman"/>
          <w:szCs w:val="24"/>
        </w:rPr>
        <w:t>.</w:t>
      </w:r>
    </w:p>
    <w:p w:rsidR="002870F3" w:rsidRDefault="002870F3" w:rsidP="002870F3">
      <w:pPr>
        <w:spacing w:line="240" w:lineRule="atLeast"/>
        <w:jc w:val="both"/>
        <w:rPr>
          <w:rFonts w:ascii="Times New Roman" w:hAnsi="Times New Roman"/>
          <w:szCs w:val="24"/>
        </w:rPr>
      </w:pPr>
    </w:p>
    <w:p w:rsidR="002870F3" w:rsidRPr="00234AFE" w:rsidRDefault="002870F3" w:rsidP="002870F3">
      <w:pPr>
        <w:spacing w:line="240" w:lineRule="atLeast"/>
        <w:jc w:val="both"/>
        <w:rPr>
          <w:rFonts w:ascii="Times New Roman" w:hAnsi="Times New Roman"/>
          <w:szCs w:val="24"/>
        </w:rPr>
      </w:pPr>
    </w:p>
    <w:p w:rsidR="002870F3" w:rsidRPr="00890B91" w:rsidRDefault="002870F3" w:rsidP="002870F3">
      <w:pPr>
        <w:spacing w:line="240" w:lineRule="atLeast"/>
        <w:jc w:val="both"/>
        <w:rPr>
          <w:rFonts w:ascii="Times New Roman" w:hAnsi="Times New Roman"/>
          <w:szCs w:val="24"/>
        </w:rPr>
      </w:pPr>
    </w:p>
    <w:p w:rsidR="002870F3" w:rsidRDefault="002870F3" w:rsidP="002870F3">
      <w:pPr>
        <w:spacing w:line="240" w:lineRule="atLeast"/>
        <w:jc w:val="both"/>
        <w:rPr>
          <w:rFonts w:ascii="Times New Roman" w:hAnsi="Times New Roman"/>
          <w:b/>
          <w:szCs w:val="24"/>
        </w:rPr>
      </w:pPr>
      <w:r w:rsidRPr="00890B91">
        <w:rPr>
          <w:rFonts w:ascii="Times New Roman" w:hAnsi="Times New Roman"/>
          <w:b/>
          <w:szCs w:val="24"/>
        </w:rPr>
        <w:lastRenderedPageBreak/>
        <w:t>CONTRAINDICACIONES</w:t>
      </w:r>
    </w:p>
    <w:p w:rsidR="002870F3" w:rsidRPr="00890B91" w:rsidRDefault="002870F3" w:rsidP="002870F3">
      <w:pPr>
        <w:spacing w:line="240" w:lineRule="atLeast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FIBROLOW </w:t>
      </w:r>
      <w:proofErr w:type="spellStart"/>
      <w:r>
        <w:rPr>
          <w:rFonts w:ascii="Times New Roman" w:hAnsi="Times New Roman"/>
          <w:szCs w:val="24"/>
        </w:rPr>
        <w:t>Lidose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Pr="00AF39AA">
        <w:rPr>
          <w:rFonts w:ascii="Times New Roman" w:hAnsi="Times New Roman"/>
          <w:szCs w:val="24"/>
        </w:rPr>
        <w:t>está contraindicado en los siguientes casos:</w:t>
      </w:r>
    </w:p>
    <w:p w:rsidR="002870F3" w:rsidRPr="00234AFE" w:rsidRDefault="002870F3" w:rsidP="002870F3">
      <w:pPr>
        <w:numPr>
          <w:ilvl w:val="0"/>
          <w:numId w:val="1"/>
        </w:numPr>
        <w:spacing w:line="240" w:lineRule="atLeast"/>
        <w:jc w:val="both"/>
        <w:rPr>
          <w:rFonts w:ascii="Times New Roman" w:hAnsi="Times New Roman"/>
          <w:szCs w:val="24"/>
        </w:rPr>
      </w:pPr>
      <w:r w:rsidRPr="00234AFE">
        <w:rPr>
          <w:rFonts w:ascii="Times New Roman" w:hAnsi="Times New Roman"/>
          <w:szCs w:val="24"/>
        </w:rPr>
        <w:t xml:space="preserve">Hipersensibilidad a </w:t>
      </w:r>
      <w:proofErr w:type="spellStart"/>
      <w:r w:rsidRPr="00234AFE">
        <w:rPr>
          <w:rFonts w:ascii="Times New Roman" w:hAnsi="Times New Roman"/>
          <w:szCs w:val="24"/>
        </w:rPr>
        <w:t>fenofibrato</w:t>
      </w:r>
      <w:proofErr w:type="spellEnd"/>
      <w:r w:rsidRPr="00234AFE">
        <w:rPr>
          <w:rFonts w:ascii="Times New Roman" w:hAnsi="Times New Roman"/>
          <w:szCs w:val="24"/>
        </w:rPr>
        <w:t xml:space="preserve"> o a cualquiera de los componentes de este medicamento.</w:t>
      </w:r>
    </w:p>
    <w:p w:rsidR="002870F3" w:rsidRPr="00234AFE" w:rsidRDefault="002870F3" w:rsidP="002870F3">
      <w:pPr>
        <w:numPr>
          <w:ilvl w:val="0"/>
          <w:numId w:val="1"/>
        </w:numPr>
        <w:spacing w:line="240" w:lineRule="atLeast"/>
        <w:jc w:val="both"/>
        <w:rPr>
          <w:rFonts w:ascii="Times New Roman" w:hAnsi="Times New Roman"/>
          <w:szCs w:val="24"/>
        </w:rPr>
      </w:pPr>
      <w:r w:rsidRPr="00234AFE">
        <w:rPr>
          <w:rFonts w:ascii="Times New Roman" w:hAnsi="Times New Roman"/>
          <w:szCs w:val="24"/>
        </w:rPr>
        <w:t>Insuficiencia hepática (incluida cirrosis biliar</w:t>
      </w:r>
      <w:r>
        <w:rPr>
          <w:rFonts w:ascii="Times New Roman" w:hAnsi="Times New Roman"/>
          <w:szCs w:val="24"/>
        </w:rPr>
        <w:t xml:space="preserve"> y alteraciones persistentes e inexplicables de la función hepática</w:t>
      </w:r>
      <w:r w:rsidRPr="00234AFE">
        <w:rPr>
          <w:rFonts w:ascii="Times New Roman" w:hAnsi="Times New Roman"/>
          <w:szCs w:val="24"/>
        </w:rPr>
        <w:t>).</w:t>
      </w:r>
    </w:p>
    <w:p w:rsidR="002870F3" w:rsidRPr="00E264B5" w:rsidRDefault="002870F3" w:rsidP="002870F3">
      <w:pPr>
        <w:numPr>
          <w:ilvl w:val="0"/>
          <w:numId w:val="1"/>
        </w:numPr>
        <w:spacing w:line="240" w:lineRule="atLeast"/>
        <w:jc w:val="both"/>
        <w:rPr>
          <w:rFonts w:ascii="Times New Roman" w:hAnsi="Times New Roman"/>
          <w:szCs w:val="24"/>
        </w:rPr>
      </w:pPr>
      <w:r w:rsidRPr="00234AFE">
        <w:rPr>
          <w:rFonts w:ascii="Times New Roman" w:hAnsi="Times New Roman"/>
          <w:szCs w:val="24"/>
        </w:rPr>
        <w:t>Insuficiencia renal</w:t>
      </w:r>
      <w:r>
        <w:rPr>
          <w:rFonts w:ascii="Times New Roman" w:hAnsi="Times New Roman"/>
          <w:szCs w:val="24"/>
        </w:rPr>
        <w:t xml:space="preserve"> crónica severa</w:t>
      </w:r>
      <w:r w:rsidRPr="00E264B5">
        <w:rPr>
          <w:rFonts w:ascii="Times New Roman" w:hAnsi="Times New Roman"/>
          <w:szCs w:val="24"/>
        </w:rPr>
        <w:t>.</w:t>
      </w:r>
    </w:p>
    <w:p w:rsidR="002870F3" w:rsidRDefault="002870F3" w:rsidP="002870F3">
      <w:pPr>
        <w:numPr>
          <w:ilvl w:val="0"/>
          <w:numId w:val="1"/>
        </w:numPr>
        <w:spacing w:line="240" w:lineRule="atLeast"/>
        <w:jc w:val="both"/>
        <w:rPr>
          <w:rFonts w:ascii="Times New Roman" w:hAnsi="Times New Roman"/>
          <w:szCs w:val="24"/>
        </w:rPr>
      </w:pPr>
      <w:r w:rsidRPr="00234AFE">
        <w:rPr>
          <w:rFonts w:ascii="Times New Roman" w:hAnsi="Times New Roman"/>
          <w:szCs w:val="24"/>
        </w:rPr>
        <w:t xml:space="preserve">Reacciones conocidas de </w:t>
      </w:r>
      <w:proofErr w:type="spellStart"/>
      <w:r w:rsidRPr="00234AFE">
        <w:rPr>
          <w:rFonts w:ascii="Times New Roman" w:hAnsi="Times New Roman"/>
          <w:szCs w:val="24"/>
        </w:rPr>
        <w:t>fotosensibilidad</w:t>
      </w:r>
      <w:proofErr w:type="spellEnd"/>
      <w:r w:rsidRPr="00234AFE">
        <w:rPr>
          <w:rFonts w:ascii="Times New Roman" w:hAnsi="Times New Roman"/>
          <w:szCs w:val="24"/>
        </w:rPr>
        <w:t xml:space="preserve"> o </w:t>
      </w:r>
      <w:proofErr w:type="spellStart"/>
      <w:r w:rsidRPr="00234AFE">
        <w:rPr>
          <w:rFonts w:ascii="Times New Roman" w:hAnsi="Times New Roman"/>
          <w:szCs w:val="24"/>
        </w:rPr>
        <w:t>fototoxicidad</w:t>
      </w:r>
      <w:proofErr w:type="spellEnd"/>
      <w:r w:rsidRPr="00234AFE">
        <w:rPr>
          <w:rFonts w:ascii="Times New Roman" w:hAnsi="Times New Roman"/>
          <w:szCs w:val="24"/>
        </w:rPr>
        <w:t xml:space="preserve"> durante el tratamiento con </w:t>
      </w:r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f</w:t>
      </w:r>
      <w:r w:rsidRPr="00234AFE">
        <w:rPr>
          <w:rFonts w:ascii="Times New Roman" w:hAnsi="Times New Roman"/>
          <w:szCs w:val="24"/>
        </w:rPr>
        <w:t>ibratos</w:t>
      </w:r>
      <w:proofErr w:type="spellEnd"/>
      <w:r w:rsidRPr="00234AFE">
        <w:rPr>
          <w:rFonts w:ascii="Times New Roman" w:hAnsi="Times New Roman"/>
          <w:szCs w:val="24"/>
        </w:rPr>
        <w:t xml:space="preserve"> o</w:t>
      </w:r>
      <w:r>
        <w:rPr>
          <w:rFonts w:ascii="Times New Roman" w:hAnsi="Times New Roman"/>
          <w:szCs w:val="24"/>
        </w:rPr>
        <w:t xml:space="preserve"> </w:t>
      </w:r>
      <w:proofErr w:type="spellStart"/>
      <w:r w:rsidRPr="00234AFE">
        <w:rPr>
          <w:rFonts w:ascii="Times New Roman" w:hAnsi="Times New Roman"/>
          <w:szCs w:val="24"/>
        </w:rPr>
        <w:t>ketoprofeno</w:t>
      </w:r>
      <w:proofErr w:type="spellEnd"/>
      <w:r w:rsidRPr="00234AFE">
        <w:rPr>
          <w:rFonts w:ascii="Times New Roman" w:hAnsi="Times New Roman"/>
          <w:szCs w:val="24"/>
        </w:rPr>
        <w:t>.</w:t>
      </w:r>
    </w:p>
    <w:p w:rsidR="002870F3" w:rsidRDefault="002870F3" w:rsidP="002870F3">
      <w:pPr>
        <w:numPr>
          <w:ilvl w:val="0"/>
          <w:numId w:val="1"/>
        </w:numPr>
        <w:spacing w:line="240" w:lineRule="atLeas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Pancreatitis aguda o crónica con excepción de pancreatitis aguda causada por </w:t>
      </w:r>
      <w:proofErr w:type="spellStart"/>
      <w:r>
        <w:rPr>
          <w:rFonts w:ascii="Times New Roman" w:hAnsi="Times New Roman"/>
          <w:szCs w:val="24"/>
        </w:rPr>
        <w:t>hipertrigliceridemia</w:t>
      </w:r>
      <w:proofErr w:type="spellEnd"/>
      <w:r>
        <w:rPr>
          <w:rFonts w:ascii="Times New Roman" w:hAnsi="Times New Roman"/>
          <w:szCs w:val="24"/>
        </w:rPr>
        <w:t xml:space="preserve"> severa.</w:t>
      </w:r>
    </w:p>
    <w:p w:rsidR="002870F3" w:rsidRDefault="002870F3" w:rsidP="002870F3">
      <w:pPr>
        <w:numPr>
          <w:ilvl w:val="0"/>
          <w:numId w:val="1"/>
        </w:numPr>
        <w:spacing w:line="240" w:lineRule="atLeas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Enfermedad de la vesícula biliar conocida.</w:t>
      </w:r>
    </w:p>
    <w:p w:rsidR="002870F3" w:rsidRPr="00890B91" w:rsidRDefault="002870F3" w:rsidP="002870F3">
      <w:pPr>
        <w:spacing w:line="240" w:lineRule="atLeast"/>
        <w:ind w:left="720"/>
        <w:jc w:val="both"/>
        <w:rPr>
          <w:rFonts w:ascii="Times New Roman" w:hAnsi="Times New Roman"/>
          <w:szCs w:val="24"/>
        </w:rPr>
      </w:pPr>
    </w:p>
    <w:p w:rsidR="002870F3" w:rsidRDefault="002870F3" w:rsidP="002870F3">
      <w:pPr>
        <w:spacing w:line="240" w:lineRule="atLeast"/>
        <w:jc w:val="both"/>
        <w:rPr>
          <w:rFonts w:ascii="Times New Roman" w:hAnsi="Times New Roman"/>
          <w:b/>
          <w:szCs w:val="24"/>
          <w:lang w:val="es-CL"/>
        </w:rPr>
      </w:pPr>
    </w:p>
    <w:p w:rsidR="002870F3" w:rsidRPr="00890B91" w:rsidRDefault="002870F3" w:rsidP="002870F3">
      <w:pPr>
        <w:spacing w:line="240" w:lineRule="atLeast"/>
        <w:jc w:val="both"/>
        <w:rPr>
          <w:rFonts w:ascii="Times New Roman" w:hAnsi="Times New Roman"/>
          <w:b/>
          <w:szCs w:val="24"/>
          <w:lang w:val="es-CL"/>
        </w:rPr>
      </w:pPr>
      <w:r w:rsidRPr="00890B91">
        <w:rPr>
          <w:rFonts w:ascii="Times New Roman" w:hAnsi="Times New Roman"/>
          <w:b/>
          <w:szCs w:val="24"/>
          <w:lang w:val="es-CL"/>
        </w:rPr>
        <w:t>PRECAUCIONES – ADVERTENCIAS</w:t>
      </w:r>
    </w:p>
    <w:p w:rsidR="002870F3" w:rsidRDefault="002870F3" w:rsidP="002870F3">
      <w:pPr>
        <w:spacing w:line="240" w:lineRule="atLeast"/>
        <w:jc w:val="both"/>
        <w:rPr>
          <w:rFonts w:ascii="Times New Roman" w:hAnsi="Times New Roman"/>
          <w:b/>
          <w:szCs w:val="24"/>
          <w:lang w:val="es-CL"/>
        </w:rPr>
      </w:pPr>
    </w:p>
    <w:p w:rsidR="002870F3" w:rsidRPr="00E264B5" w:rsidRDefault="002870F3" w:rsidP="002870F3">
      <w:pPr>
        <w:spacing w:line="240" w:lineRule="atLeast"/>
        <w:jc w:val="both"/>
        <w:rPr>
          <w:rFonts w:ascii="Times New Roman" w:hAnsi="Times New Roman"/>
          <w:szCs w:val="24"/>
          <w:u w:val="single"/>
          <w:lang w:val="es-CL"/>
        </w:rPr>
      </w:pPr>
      <w:r w:rsidRPr="00E264B5">
        <w:rPr>
          <w:rFonts w:ascii="Times New Roman" w:hAnsi="Times New Roman"/>
          <w:szCs w:val="24"/>
          <w:u w:val="single"/>
          <w:lang w:val="es-CL"/>
        </w:rPr>
        <w:t xml:space="preserve">Causas de </w:t>
      </w:r>
      <w:proofErr w:type="spellStart"/>
      <w:r w:rsidRPr="00E264B5">
        <w:rPr>
          <w:rFonts w:ascii="Times New Roman" w:hAnsi="Times New Roman"/>
          <w:szCs w:val="24"/>
          <w:u w:val="single"/>
          <w:lang w:val="es-CL"/>
        </w:rPr>
        <w:t>hiperlipemias</w:t>
      </w:r>
      <w:proofErr w:type="spellEnd"/>
    </w:p>
    <w:p w:rsidR="002870F3" w:rsidRPr="00B97AFF" w:rsidRDefault="002870F3" w:rsidP="002870F3">
      <w:pPr>
        <w:spacing w:line="240" w:lineRule="atLeast"/>
        <w:jc w:val="both"/>
        <w:rPr>
          <w:rFonts w:ascii="Times New Roman" w:hAnsi="Times New Roman"/>
          <w:szCs w:val="24"/>
          <w:lang w:val="es-CL"/>
        </w:rPr>
      </w:pPr>
      <w:r w:rsidRPr="00B97AFF">
        <w:rPr>
          <w:rFonts w:ascii="Times New Roman" w:hAnsi="Times New Roman"/>
          <w:szCs w:val="24"/>
          <w:lang w:val="es-CL"/>
        </w:rPr>
        <w:t>Las hipercolesterolemias secundarias causadas por diabetes mellitus de tipo 2 no controlada,</w:t>
      </w:r>
      <w:r>
        <w:rPr>
          <w:rFonts w:ascii="Times New Roman" w:hAnsi="Times New Roman"/>
          <w:szCs w:val="24"/>
          <w:lang w:val="es-CL"/>
        </w:rPr>
        <w:t xml:space="preserve"> </w:t>
      </w:r>
      <w:r w:rsidRPr="00B97AFF">
        <w:rPr>
          <w:rFonts w:ascii="Times New Roman" w:hAnsi="Times New Roman"/>
          <w:szCs w:val="24"/>
          <w:lang w:val="es-CL"/>
        </w:rPr>
        <w:t xml:space="preserve">hipotiroidismo, síndrome nefrótico, </w:t>
      </w:r>
      <w:proofErr w:type="spellStart"/>
      <w:r w:rsidRPr="00B97AFF">
        <w:rPr>
          <w:rFonts w:ascii="Times New Roman" w:hAnsi="Times New Roman"/>
          <w:szCs w:val="24"/>
          <w:lang w:val="es-CL"/>
        </w:rPr>
        <w:t>disproteinemia</w:t>
      </w:r>
      <w:proofErr w:type="spellEnd"/>
      <w:r w:rsidRPr="00B97AFF">
        <w:rPr>
          <w:rFonts w:ascii="Times New Roman" w:hAnsi="Times New Roman"/>
          <w:szCs w:val="24"/>
          <w:lang w:val="es-CL"/>
        </w:rPr>
        <w:t>, trastorno obstructivo hepático, tratamiento</w:t>
      </w:r>
      <w:r>
        <w:rPr>
          <w:rFonts w:ascii="Times New Roman" w:hAnsi="Times New Roman"/>
          <w:szCs w:val="24"/>
          <w:lang w:val="es-CL"/>
        </w:rPr>
        <w:t xml:space="preserve"> </w:t>
      </w:r>
      <w:r w:rsidRPr="00B97AFF">
        <w:rPr>
          <w:rFonts w:ascii="Times New Roman" w:hAnsi="Times New Roman"/>
          <w:szCs w:val="24"/>
          <w:lang w:val="es-CL"/>
        </w:rPr>
        <w:t>farmacológico, alcoholismo, deben ser adecuadamente tratadas antes de considerar el tratamiento</w:t>
      </w:r>
      <w:r>
        <w:rPr>
          <w:rFonts w:ascii="Times New Roman" w:hAnsi="Times New Roman"/>
          <w:szCs w:val="24"/>
          <w:lang w:val="es-CL"/>
        </w:rPr>
        <w:t xml:space="preserve"> </w:t>
      </w:r>
      <w:r w:rsidRPr="00B97AFF">
        <w:rPr>
          <w:rFonts w:ascii="Times New Roman" w:hAnsi="Times New Roman"/>
          <w:szCs w:val="24"/>
          <w:lang w:val="es-CL"/>
        </w:rPr>
        <w:t xml:space="preserve">con </w:t>
      </w:r>
      <w:proofErr w:type="spellStart"/>
      <w:r w:rsidRPr="00B97AFF">
        <w:rPr>
          <w:rFonts w:ascii="Times New Roman" w:hAnsi="Times New Roman"/>
          <w:szCs w:val="24"/>
          <w:lang w:val="es-CL"/>
        </w:rPr>
        <w:t>fenofibrato</w:t>
      </w:r>
      <w:proofErr w:type="spellEnd"/>
      <w:r w:rsidRPr="00B97AFF">
        <w:rPr>
          <w:rFonts w:ascii="Times New Roman" w:hAnsi="Times New Roman"/>
          <w:szCs w:val="24"/>
          <w:lang w:val="es-CL"/>
        </w:rPr>
        <w:t>.</w:t>
      </w:r>
    </w:p>
    <w:p w:rsidR="002870F3" w:rsidRPr="00E264B5" w:rsidRDefault="002870F3" w:rsidP="002870F3">
      <w:pPr>
        <w:spacing w:line="240" w:lineRule="atLeast"/>
        <w:jc w:val="both"/>
        <w:rPr>
          <w:rFonts w:ascii="Times New Roman" w:hAnsi="Times New Roman"/>
          <w:szCs w:val="24"/>
          <w:lang w:val="es-CL"/>
        </w:rPr>
      </w:pPr>
      <w:r w:rsidRPr="00B97AFF">
        <w:rPr>
          <w:rFonts w:ascii="Times New Roman" w:hAnsi="Times New Roman"/>
          <w:szCs w:val="24"/>
          <w:lang w:val="es-CL"/>
        </w:rPr>
        <w:t>Se pueden observar hipercolesterolemias secundarias relacionadas al tratamiento farmacológico</w:t>
      </w:r>
      <w:r>
        <w:rPr>
          <w:rFonts w:ascii="Times New Roman" w:hAnsi="Times New Roman"/>
          <w:szCs w:val="24"/>
          <w:lang w:val="es-CL"/>
        </w:rPr>
        <w:t xml:space="preserve"> </w:t>
      </w:r>
      <w:r w:rsidRPr="00B97AFF">
        <w:rPr>
          <w:rFonts w:ascii="Times New Roman" w:hAnsi="Times New Roman"/>
          <w:szCs w:val="24"/>
          <w:lang w:val="es-CL"/>
        </w:rPr>
        <w:t>con diuréticos, agentes β-bloqueantes, estrógeno, progestágenos, anticonceptivos orales</w:t>
      </w:r>
      <w:r>
        <w:rPr>
          <w:rFonts w:ascii="Times New Roman" w:hAnsi="Times New Roman"/>
          <w:szCs w:val="24"/>
          <w:lang w:val="es-CL"/>
        </w:rPr>
        <w:t xml:space="preserve"> </w:t>
      </w:r>
      <w:r w:rsidRPr="00B97AFF">
        <w:rPr>
          <w:rFonts w:ascii="Times New Roman" w:hAnsi="Times New Roman"/>
          <w:szCs w:val="24"/>
          <w:lang w:val="es-CL"/>
        </w:rPr>
        <w:t>combinados, agentes inmunosupresores e inhibidores de la proteasa. En estos casos es preciso</w:t>
      </w:r>
      <w:r>
        <w:rPr>
          <w:rFonts w:ascii="Times New Roman" w:hAnsi="Times New Roman"/>
          <w:szCs w:val="24"/>
          <w:lang w:val="es-CL"/>
        </w:rPr>
        <w:t xml:space="preserve"> </w:t>
      </w:r>
      <w:r w:rsidRPr="00B97AFF">
        <w:rPr>
          <w:rFonts w:ascii="Times New Roman" w:hAnsi="Times New Roman"/>
          <w:szCs w:val="24"/>
          <w:lang w:val="es-CL"/>
        </w:rPr>
        <w:t>determinar si su hiperlipidemia es primaria o secundaria (los eventuales altos niveles lipídicos</w:t>
      </w:r>
      <w:r>
        <w:rPr>
          <w:rFonts w:ascii="Times New Roman" w:hAnsi="Times New Roman"/>
          <w:szCs w:val="24"/>
          <w:lang w:val="es-CL"/>
        </w:rPr>
        <w:t xml:space="preserve"> </w:t>
      </w:r>
      <w:r w:rsidRPr="00B97AFF">
        <w:rPr>
          <w:rFonts w:ascii="Times New Roman" w:hAnsi="Times New Roman"/>
          <w:szCs w:val="24"/>
          <w:lang w:val="es-CL"/>
        </w:rPr>
        <w:t>pueden ser causados por estos agentes terapéuticos).</w:t>
      </w:r>
    </w:p>
    <w:p w:rsidR="002870F3" w:rsidRDefault="002870F3" w:rsidP="002870F3">
      <w:pPr>
        <w:spacing w:line="240" w:lineRule="atLeast"/>
        <w:jc w:val="both"/>
        <w:rPr>
          <w:rFonts w:ascii="Times New Roman" w:hAnsi="Times New Roman"/>
          <w:szCs w:val="24"/>
          <w:lang w:val="es-PE"/>
        </w:rPr>
      </w:pPr>
    </w:p>
    <w:p w:rsidR="002870F3" w:rsidRPr="00E264B5" w:rsidRDefault="002870F3" w:rsidP="002870F3">
      <w:pPr>
        <w:spacing w:line="240" w:lineRule="atLeast"/>
        <w:jc w:val="both"/>
        <w:rPr>
          <w:rFonts w:ascii="Times New Roman" w:hAnsi="Times New Roman"/>
          <w:szCs w:val="24"/>
          <w:u w:val="single"/>
          <w:lang w:val="es-PE"/>
        </w:rPr>
      </w:pPr>
      <w:r w:rsidRPr="00E264B5">
        <w:rPr>
          <w:rFonts w:ascii="Times New Roman" w:hAnsi="Times New Roman"/>
          <w:szCs w:val="24"/>
          <w:u w:val="single"/>
          <w:lang w:val="es-PE"/>
        </w:rPr>
        <w:t>Función hepática</w:t>
      </w:r>
    </w:p>
    <w:p w:rsidR="002870F3" w:rsidRPr="00234AFE" w:rsidRDefault="002870F3" w:rsidP="002870F3">
      <w:pPr>
        <w:spacing w:line="240" w:lineRule="atLeast"/>
        <w:jc w:val="both"/>
        <w:rPr>
          <w:rFonts w:ascii="Times New Roman" w:hAnsi="Times New Roman"/>
          <w:szCs w:val="24"/>
          <w:lang w:val="es-PE"/>
        </w:rPr>
      </w:pPr>
      <w:r w:rsidRPr="00234AFE">
        <w:rPr>
          <w:rFonts w:ascii="Times New Roman" w:hAnsi="Times New Roman"/>
          <w:szCs w:val="24"/>
          <w:lang w:val="es-PE"/>
        </w:rPr>
        <w:t xml:space="preserve">Al igual que con otros agentes </w:t>
      </w:r>
      <w:proofErr w:type="spellStart"/>
      <w:r w:rsidRPr="00234AFE">
        <w:rPr>
          <w:rFonts w:ascii="Times New Roman" w:hAnsi="Times New Roman"/>
          <w:szCs w:val="24"/>
          <w:lang w:val="es-PE"/>
        </w:rPr>
        <w:t>hipolipemiantes</w:t>
      </w:r>
      <w:proofErr w:type="spellEnd"/>
      <w:r w:rsidRPr="00234AFE">
        <w:rPr>
          <w:rFonts w:ascii="Times New Roman" w:hAnsi="Times New Roman"/>
          <w:szCs w:val="24"/>
          <w:lang w:val="es-PE"/>
        </w:rPr>
        <w:t>, se han observado aumentos de transaminasas en algunos</w:t>
      </w:r>
      <w:r>
        <w:rPr>
          <w:rFonts w:ascii="Times New Roman" w:hAnsi="Times New Roman"/>
          <w:szCs w:val="24"/>
          <w:lang w:val="es-PE"/>
        </w:rPr>
        <w:t xml:space="preserve"> </w:t>
      </w:r>
      <w:r w:rsidRPr="00234AFE">
        <w:rPr>
          <w:rFonts w:ascii="Times New Roman" w:hAnsi="Times New Roman"/>
          <w:szCs w:val="24"/>
          <w:lang w:val="es-PE"/>
        </w:rPr>
        <w:t>pacientes. En la mayoría de los casos, estos aumentos fueron transitorios, leves y asintomáticos. Se</w:t>
      </w:r>
      <w:r>
        <w:rPr>
          <w:rFonts w:ascii="Times New Roman" w:hAnsi="Times New Roman"/>
          <w:szCs w:val="24"/>
          <w:lang w:val="es-PE"/>
        </w:rPr>
        <w:t xml:space="preserve"> </w:t>
      </w:r>
      <w:r w:rsidRPr="00234AFE">
        <w:rPr>
          <w:rFonts w:ascii="Times New Roman" w:hAnsi="Times New Roman"/>
          <w:szCs w:val="24"/>
          <w:lang w:val="es-PE"/>
        </w:rPr>
        <w:t>recomienda, sin embargo, un control sistémico de las transaminasas cada 3 meses, durante los primeros 12</w:t>
      </w:r>
      <w:r>
        <w:rPr>
          <w:rFonts w:ascii="Times New Roman" w:hAnsi="Times New Roman"/>
          <w:szCs w:val="24"/>
          <w:lang w:val="es-PE"/>
        </w:rPr>
        <w:t xml:space="preserve"> </w:t>
      </w:r>
      <w:r w:rsidRPr="00234AFE">
        <w:rPr>
          <w:rFonts w:ascii="Times New Roman" w:hAnsi="Times New Roman"/>
          <w:szCs w:val="24"/>
          <w:lang w:val="es-PE"/>
        </w:rPr>
        <w:t>meses de tratamiento. Deberá prestarse especial atención a aquellos pacientes que desarrollen un aumento</w:t>
      </w:r>
      <w:r>
        <w:rPr>
          <w:rFonts w:ascii="Times New Roman" w:hAnsi="Times New Roman"/>
          <w:szCs w:val="24"/>
          <w:lang w:val="es-PE"/>
        </w:rPr>
        <w:t xml:space="preserve"> </w:t>
      </w:r>
      <w:r w:rsidRPr="00234AFE">
        <w:rPr>
          <w:rFonts w:ascii="Times New Roman" w:hAnsi="Times New Roman"/>
          <w:szCs w:val="24"/>
          <w:lang w:val="es-PE"/>
        </w:rPr>
        <w:t xml:space="preserve">de </w:t>
      </w:r>
      <w:proofErr w:type="spellStart"/>
      <w:r w:rsidRPr="00234AFE">
        <w:rPr>
          <w:rFonts w:ascii="Times New Roman" w:hAnsi="Times New Roman"/>
          <w:szCs w:val="24"/>
          <w:lang w:val="es-PE"/>
        </w:rPr>
        <w:t>aminotransferasas</w:t>
      </w:r>
      <w:proofErr w:type="spellEnd"/>
      <w:r w:rsidRPr="00234AFE">
        <w:rPr>
          <w:rFonts w:ascii="Times New Roman" w:hAnsi="Times New Roman"/>
          <w:szCs w:val="24"/>
          <w:lang w:val="es-PE"/>
        </w:rPr>
        <w:t xml:space="preserve"> y se suspenderá el tratamiento en caso de que los niveles de las ASAT y ALAT</w:t>
      </w:r>
      <w:r>
        <w:rPr>
          <w:rFonts w:ascii="Times New Roman" w:hAnsi="Times New Roman"/>
          <w:szCs w:val="24"/>
          <w:lang w:val="es-PE"/>
        </w:rPr>
        <w:t xml:space="preserve"> </w:t>
      </w:r>
      <w:r w:rsidRPr="00234AFE">
        <w:rPr>
          <w:rFonts w:ascii="Times New Roman" w:hAnsi="Times New Roman"/>
          <w:szCs w:val="24"/>
          <w:lang w:val="es-PE"/>
        </w:rPr>
        <w:t>superen más del triple del límite superior del valor normal.</w:t>
      </w:r>
    </w:p>
    <w:p w:rsidR="002870F3" w:rsidRDefault="002870F3" w:rsidP="002870F3">
      <w:pPr>
        <w:spacing w:line="240" w:lineRule="atLeast"/>
        <w:jc w:val="both"/>
        <w:rPr>
          <w:rFonts w:ascii="Times New Roman" w:hAnsi="Times New Roman"/>
          <w:szCs w:val="24"/>
          <w:lang w:val="es-PE"/>
        </w:rPr>
      </w:pPr>
    </w:p>
    <w:p w:rsidR="002870F3" w:rsidRPr="00E264B5" w:rsidRDefault="002870F3" w:rsidP="002870F3">
      <w:pPr>
        <w:spacing w:line="240" w:lineRule="atLeast"/>
        <w:jc w:val="both"/>
        <w:rPr>
          <w:rFonts w:ascii="Times New Roman" w:hAnsi="Times New Roman"/>
          <w:szCs w:val="24"/>
          <w:u w:val="single"/>
          <w:lang w:val="es-PE"/>
        </w:rPr>
      </w:pPr>
      <w:r w:rsidRPr="00E264B5">
        <w:rPr>
          <w:rFonts w:ascii="Times New Roman" w:hAnsi="Times New Roman"/>
          <w:szCs w:val="24"/>
          <w:u w:val="single"/>
          <w:lang w:val="es-PE"/>
        </w:rPr>
        <w:t>Músculo</w:t>
      </w:r>
    </w:p>
    <w:p w:rsidR="002870F3" w:rsidRPr="00234AFE" w:rsidRDefault="002870F3" w:rsidP="002870F3">
      <w:pPr>
        <w:spacing w:line="240" w:lineRule="atLeast"/>
        <w:jc w:val="both"/>
        <w:rPr>
          <w:rFonts w:ascii="Times New Roman" w:hAnsi="Times New Roman"/>
          <w:szCs w:val="24"/>
          <w:lang w:val="es-PE"/>
        </w:rPr>
      </w:pPr>
      <w:r w:rsidRPr="00234AFE">
        <w:rPr>
          <w:rFonts w:ascii="Times New Roman" w:hAnsi="Times New Roman"/>
          <w:szCs w:val="24"/>
          <w:lang w:val="es-PE"/>
        </w:rPr>
        <w:t xml:space="preserve">Se han observado bajo la administración de </w:t>
      </w:r>
      <w:proofErr w:type="spellStart"/>
      <w:r w:rsidRPr="00234AFE">
        <w:rPr>
          <w:rFonts w:ascii="Times New Roman" w:hAnsi="Times New Roman"/>
          <w:szCs w:val="24"/>
          <w:lang w:val="es-PE"/>
        </w:rPr>
        <w:t>fibratos</w:t>
      </w:r>
      <w:proofErr w:type="spellEnd"/>
      <w:r w:rsidRPr="00234AFE">
        <w:rPr>
          <w:rFonts w:ascii="Times New Roman" w:hAnsi="Times New Roman"/>
          <w:szCs w:val="24"/>
          <w:lang w:val="es-PE"/>
        </w:rPr>
        <w:t xml:space="preserve"> y otros agentes </w:t>
      </w:r>
      <w:proofErr w:type="spellStart"/>
      <w:r w:rsidRPr="00234AFE">
        <w:rPr>
          <w:rFonts w:ascii="Times New Roman" w:hAnsi="Times New Roman"/>
          <w:szCs w:val="24"/>
          <w:lang w:val="es-PE"/>
        </w:rPr>
        <w:t>hipolipemiantes</w:t>
      </w:r>
      <w:proofErr w:type="spellEnd"/>
      <w:r w:rsidRPr="00234AFE">
        <w:rPr>
          <w:rFonts w:ascii="Times New Roman" w:hAnsi="Times New Roman"/>
          <w:szCs w:val="24"/>
          <w:lang w:val="es-PE"/>
        </w:rPr>
        <w:t>, casos de toxicidad</w:t>
      </w:r>
      <w:r>
        <w:rPr>
          <w:rFonts w:ascii="Times New Roman" w:hAnsi="Times New Roman"/>
          <w:szCs w:val="24"/>
          <w:lang w:val="es-PE"/>
        </w:rPr>
        <w:t xml:space="preserve"> </w:t>
      </w:r>
      <w:r w:rsidRPr="00234AFE">
        <w:rPr>
          <w:rFonts w:ascii="Times New Roman" w:hAnsi="Times New Roman"/>
          <w:szCs w:val="24"/>
          <w:lang w:val="es-PE"/>
        </w:rPr>
        <w:t xml:space="preserve">muscular, incluyendo raramente casos de </w:t>
      </w:r>
      <w:proofErr w:type="spellStart"/>
      <w:r w:rsidRPr="00234AFE">
        <w:rPr>
          <w:rFonts w:ascii="Times New Roman" w:hAnsi="Times New Roman"/>
          <w:szCs w:val="24"/>
          <w:lang w:val="es-PE"/>
        </w:rPr>
        <w:t>rabdomiólisis</w:t>
      </w:r>
      <w:proofErr w:type="spellEnd"/>
      <w:r w:rsidRPr="00234AFE">
        <w:rPr>
          <w:rFonts w:ascii="Times New Roman" w:hAnsi="Times New Roman"/>
          <w:szCs w:val="24"/>
          <w:lang w:val="es-PE"/>
        </w:rPr>
        <w:t>. La incidencia de estos trastornos aumenta en caso</w:t>
      </w:r>
      <w:r>
        <w:rPr>
          <w:rFonts w:ascii="Times New Roman" w:hAnsi="Times New Roman"/>
          <w:szCs w:val="24"/>
          <w:lang w:val="es-PE"/>
        </w:rPr>
        <w:t xml:space="preserve"> </w:t>
      </w:r>
      <w:r w:rsidRPr="00234AFE">
        <w:rPr>
          <w:rFonts w:ascii="Times New Roman" w:hAnsi="Times New Roman"/>
          <w:szCs w:val="24"/>
          <w:lang w:val="es-PE"/>
        </w:rPr>
        <w:t>de hipoalbuminemia o insuficiencia renal previa. Se sospechará toxicidad muscular en pacientes que</w:t>
      </w:r>
      <w:r>
        <w:rPr>
          <w:rFonts w:ascii="Times New Roman" w:hAnsi="Times New Roman"/>
          <w:szCs w:val="24"/>
          <w:lang w:val="es-PE"/>
        </w:rPr>
        <w:t xml:space="preserve"> </w:t>
      </w:r>
      <w:r w:rsidRPr="00234AFE">
        <w:rPr>
          <w:rFonts w:ascii="Times New Roman" w:hAnsi="Times New Roman"/>
          <w:szCs w:val="24"/>
          <w:lang w:val="es-PE"/>
        </w:rPr>
        <w:t xml:space="preserve">presenten mialgia difusa, </w:t>
      </w:r>
      <w:proofErr w:type="spellStart"/>
      <w:r w:rsidRPr="00234AFE">
        <w:rPr>
          <w:rFonts w:ascii="Times New Roman" w:hAnsi="Times New Roman"/>
          <w:szCs w:val="24"/>
          <w:lang w:val="es-PE"/>
        </w:rPr>
        <w:t>miositis</w:t>
      </w:r>
      <w:proofErr w:type="spellEnd"/>
      <w:r w:rsidRPr="00234AFE">
        <w:rPr>
          <w:rFonts w:ascii="Times New Roman" w:hAnsi="Times New Roman"/>
          <w:szCs w:val="24"/>
          <w:lang w:val="es-PE"/>
        </w:rPr>
        <w:t>, calambres musculares, debilidad muscular y/o elevaciones marcadas de</w:t>
      </w:r>
      <w:r>
        <w:rPr>
          <w:rFonts w:ascii="Times New Roman" w:hAnsi="Times New Roman"/>
          <w:szCs w:val="24"/>
          <w:lang w:val="es-PE"/>
        </w:rPr>
        <w:t xml:space="preserve"> </w:t>
      </w:r>
      <w:r w:rsidRPr="00234AFE">
        <w:rPr>
          <w:rFonts w:ascii="Times New Roman" w:hAnsi="Times New Roman"/>
          <w:szCs w:val="24"/>
          <w:lang w:val="es-PE"/>
        </w:rPr>
        <w:t>CPK (superiores a 5 veces el límite superior normal). En tales casos, se suspenderá el tratamiento con</w:t>
      </w:r>
      <w:r>
        <w:rPr>
          <w:rFonts w:ascii="Times New Roman" w:hAnsi="Times New Roman"/>
          <w:szCs w:val="24"/>
          <w:lang w:val="es-PE"/>
        </w:rPr>
        <w:t xml:space="preserve"> </w:t>
      </w:r>
      <w:proofErr w:type="spellStart"/>
      <w:r w:rsidRPr="00234AFE">
        <w:rPr>
          <w:rFonts w:ascii="Times New Roman" w:hAnsi="Times New Roman"/>
          <w:szCs w:val="24"/>
          <w:lang w:val="es-PE"/>
        </w:rPr>
        <w:t>fenofibrato</w:t>
      </w:r>
      <w:proofErr w:type="spellEnd"/>
      <w:r w:rsidRPr="00234AFE">
        <w:rPr>
          <w:rFonts w:ascii="Times New Roman" w:hAnsi="Times New Roman"/>
          <w:szCs w:val="24"/>
          <w:lang w:val="es-PE"/>
        </w:rPr>
        <w:t>.</w:t>
      </w:r>
    </w:p>
    <w:p w:rsidR="002870F3" w:rsidRDefault="002870F3" w:rsidP="002870F3">
      <w:pPr>
        <w:spacing w:line="240" w:lineRule="atLeast"/>
        <w:jc w:val="both"/>
        <w:rPr>
          <w:rFonts w:ascii="Times New Roman" w:hAnsi="Times New Roman"/>
          <w:szCs w:val="24"/>
          <w:lang w:val="es-PE"/>
        </w:rPr>
      </w:pPr>
    </w:p>
    <w:p w:rsidR="002870F3" w:rsidRDefault="002870F3" w:rsidP="002870F3">
      <w:pPr>
        <w:spacing w:line="240" w:lineRule="atLeast"/>
        <w:jc w:val="both"/>
        <w:rPr>
          <w:rFonts w:ascii="Times New Roman" w:hAnsi="Times New Roman"/>
          <w:szCs w:val="24"/>
          <w:lang w:val="es-PE"/>
        </w:rPr>
      </w:pPr>
      <w:r w:rsidRPr="00234AFE">
        <w:rPr>
          <w:rFonts w:ascii="Times New Roman" w:hAnsi="Times New Roman"/>
          <w:szCs w:val="24"/>
          <w:lang w:val="es-PE"/>
        </w:rPr>
        <w:t>El riesgo de toxicidad muscular puede aumentar cuando el medicamento se administra en asociación con</w:t>
      </w:r>
      <w:r>
        <w:rPr>
          <w:rFonts w:ascii="Times New Roman" w:hAnsi="Times New Roman"/>
          <w:szCs w:val="24"/>
          <w:lang w:val="es-PE"/>
        </w:rPr>
        <w:t xml:space="preserve"> </w:t>
      </w:r>
      <w:r w:rsidRPr="00234AFE">
        <w:rPr>
          <w:rFonts w:ascii="Times New Roman" w:hAnsi="Times New Roman"/>
          <w:szCs w:val="24"/>
          <w:lang w:val="es-PE"/>
        </w:rPr>
        <w:t xml:space="preserve">otros </w:t>
      </w:r>
      <w:proofErr w:type="spellStart"/>
      <w:r w:rsidRPr="00234AFE">
        <w:rPr>
          <w:rFonts w:ascii="Times New Roman" w:hAnsi="Times New Roman"/>
          <w:szCs w:val="24"/>
          <w:lang w:val="es-PE"/>
        </w:rPr>
        <w:t>fibratos</w:t>
      </w:r>
      <w:proofErr w:type="spellEnd"/>
      <w:r w:rsidRPr="00234AFE">
        <w:rPr>
          <w:rFonts w:ascii="Times New Roman" w:hAnsi="Times New Roman"/>
          <w:szCs w:val="24"/>
          <w:lang w:val="es-PE"/>
        </w:rPr>
        <w:t xml:space="preserve"> o con inhibidores de la HMG-</w:t>
      </w:r>
      <w:proofErr w:type="spellStart"/>
      <w:r w:rsidRPr="00234AFE">
        <w:rPr>
          <w:rFonts w:ascii="Times New Roman" w:hAnsi="Times New Roman"/>
          <w:szCs w:val="24"/>
          <w:lang w:val="es-PE"/>
        </w:rPr>
        <w:t>CoA</w:t>
      </w:r>
      <w:proofErr w:type="spellEnd"/>
      <w:r w:rsidRPr="00234AFE">
        <w:rPr>
          <w:rFonts w:ascii="Times New Roman" w:hAnsi="Times New Roman"/>
          <w:szCs w:val="24"/>
          <w:lang w:val="es-PE"/>
        </w:rPr>
        <w:t xml:space="preserve"> </w:t>
      </w:r>
      <w:proofErr w:type="spellStart"/>
      <w:r w:rsidRPr="00234AFE">
        <w:rPr>
          <w:rFonts w:ascii="Times New Roman" w:hAnsi="Times New Roman"/>
          <w:szCs w:val="24"/>
          <w:lang w:val="es-PE"/>
        </w:rPr>
        <w:t>reductasa</w:t>
      </w:r>
      <w:proofErr w:type="spellEnd"/>
      <w:r w:rsidRPr="00234AFE">
        <w:rPr>
          <w:rFonts w:ascii="Times New Roman" w:hAnsi="Times New Roman"/>
          <w:szCs w:val="24"/>
          <w:lang w:val="es-PE"/>
        </w:rPr>
        <w:t>, especialmente en caso de existir trastornos</w:t>
      </w:r>
      <w:r>
        <w:rPr>
          <w:rFonts w:ascii="Times New Roman" w:hAnsi="Times New Roman"/>
          <w:szCs w:val="24"/>
          <w:lang w:val="es-PE"/>
        </w:rPr>
        <w:t xml:space="preserve"> </w:t>
      </w:r>
      <w:r w:rsidRPr="00234AFE">
        <w:rPr>
          <w:rFonts w:ascii="Times New Roman" w:hAnsi="Times New Roman"/>
          <w:szCs w:val="24"/>
          <w:lang w:val="es-PE"/>
        </w:rPr>
        <w:t xml:space="preserve">musculares anteriores. En consecuencia, la </w:t>
      </w:r>
      <w:proofErr w:type="spellStart"/>
      <w:r w:rsidRPr="00234AFE">
        <w:rPr>
          <w:rFonts w:ascii="Times New Roman" w:hAnsi="Times New Roman"/>
          <w:szCs w:val="24"/>
          <w:lang w:val="es-PE"/>
        </w:rPr>
        <w:t>co</w:t>
      </w:r>
      <w:proofErr w:type="spellEnd"/>
      <w:r w:rsidRPr="00234AFE">
        <w:rPr>
          <w:rFonts w:ascii="Times New Roman" w:hAnsi="Times New Roman"/>
          <w:szCs w:val="24"/>
          <w:lang w:val="es-PE"/>
        </w:rPr>
        <w:t xml:space="preserve">-prescripción de </w:t>
      </w:r>
      <w:proofErr w:type="spellStart"/>
      <w:r w:rsidRPr="00234AFE">
        <w:rPr>
          <w:rFonts w:ascii="Times New Roman" w:hAnsi="Times New Roman"/>
          <w:szCs w:val="24"/>
          <w:lang w:val="es-PE"/>
        </w:rPr>
        <w:t>fenofibrato</w:t>
      </w:r>
      <w:proofErr w:type="spellEnd"/>
      <w:r w:rsidRPr="00234AFE">
        <w:rPr>
          <w:rFonts w:ascii="Times New Roman" w:hAnsi="Times New Roman"/>
          <w:szCs w:val="24"/>
          <w:lang w:val="es-PE"/>
        </w:rPr>
        <w:t xml:space="preserve"> con </w:t>
      </w:r>
      <w:proofErr w:type="spellStart"/>
      <w:r w:rsidRPr="00234AFE">
        <w:rPr>
          <w:rFonts w:ascii="Times New Roman" w:hAnsi="Times New Roman"/>
          <w:szCs w:val="24"/>
          <w:lang w:val="es-PE"/>
        </w:rPr>
        <w:t>estatinas</w:t>
      </w:r>
      <w:proofErr w:type="spellEnd"/>
      <w:r w:rsidRPr="00234AFE">
        <w:rPr>
          <w:rFonts w:ascii="Times New Roman" w:hAnsi="Times New Roman"/>
          <w:szCs w:val="24"/>
          <w:lang w:val="es-PE"/>
        </w:rPr>
        <w:t xml:space="preserve"> deberá reservarse a</w:t>
      </w:r>
      <w:r>
        <w:rPr>
          <w:rFonts w:ascii="Times New Roman" w:hAnsi="Times New Roman"/>
          <w:szCs w:val="24"/>
          <w:lang w:val="es-PE"/>
        </w:rPr>
        <w:t xml:space="preserve"> </w:t>
      </w:r>
      <w:r w:rsidRPr="00234AFE">
        <w:rPr>
          <w:rFonts w:ascii="Times New Roman" w:hAnsi="Times New Roman"/>
          <w:szCs w:val="24"/>
          <w:lang w:val="es-PE"/>
        </w:rPr>
        <w:t xml:space="preserve">aquellos pacientes que presenten una grave </w:t>
      </w:r>
      <w:proofErr w:type="spellStart"/>
      <w:r w:rsidRPr="00234AFE">
        <w:rPr>
          <w:rFonts w:ascii="Times New Roman" w:hAnsi="Times New Roman"/>
          <w:szCs w:val="24"/>
          <w:lang w:val="es-PE"/>
        </w:rPr>
        <w:t>dislipidemia</w:t>
      </w:r>
      <w:proofErr w:type="spellEnd"/>
      <w:r w:rsidRPr="00234AFE">
        <w:rPr>
          <w:rFonts w:ascii="Times New Roman" w:hAnsi="Times New Roman"/>
          <w:szCs w:val="24"/>
          <w:lang w:val="es-PE"/>
        </w:rPr>
        <w:t xml:space="preserve"> asociada a un alto riesgo cardiovascular pero sin</w:t>
      </w:r>
      <w:r>
        <w:rPr>
          <w:rFonts w:ascii="Times New Roman" w:hAnsi="Times New Roman"/>
          <w:szCs w:val="24"/>
          <w:lang w:val="es-PE"/>
        </w:rPr>
        <w:t xml:space="preserve"> </w:t>
      </w:r>
      <w:r w:rsidRPr="00234AFE">
        <w:rPr>
          <w:rFonts w:ascii="Times New Roman" w:hAnsi="Times New Roman"/>
          <w:szCs w:val="24"/>
          <w:lang w:val="es-PE"/>
        </w:rPr>
        <w:t>antecedentes de afecciones musculares. Esta combinación terapéutica se usará con precaución y se vigilará</w:t>
      </w:r>
      <w:r>
        <w:rPr>
          <w:rFonts w:ascii="Times New Roman" w:hAnsi="Times New Roman"/>
          <w:szCs w:val="24"/>
          <w:lang w:val="es-PE"/>
        </w:rPr>
        <w:t xml:space="preserve"> </w:t>
      </w:r>
      <w:r w:rsidRPr="00234AFE">
        <w:rPr>
          <w:rFonts w:ascii="Times New Roman" w:hAnsi="Times New Roman"/>
          <w:szCs w:val="24"/>
          <w:lang w:val="es-PE"/>
        </w:rPr>
        <w:t>atentamente cualquier signo de toxicidad muscular.</w:t>
      </w:r>
    </w:p>
    <w:p w:rsidR="002870F3" w:rsidRDefault="002870F3" w:rsidP="002870F3">
      <w:pPr>
        <w:spacing w:line="240" w:lineRule="atLeast"/>
        <w:jc w:val="both"/>
        <w:rPr>
          <w:rFonts w:ascii="Times New Roman" w:hAnsi="Times New Roman"/>
          <w:szCs w:val="24"/>
          <w:lang w:val="es-PE"/>
        </w:rPr>
      </w:pPr>
    </w:p>
    <w:p w:rsidR="002870F3" w:rsidRDefault="002870F3" w:rsidP="002870F3">
      <w:pPr>
        <w:spacing w:line="240" w:lineRule="atLeast"/>
        <w:jc w:val="both"/>
        <w:rPr>
          <w:rFonts w:ascii="Times New Roman" w:hAnsi="Times New Roman"/>
          <w:szCs w:val="24"/>
          <w:lang w:val="es-PE"/>
        </w:rPr>
      </w:pPr>
    </w:p>
    <w:p w:rsidR="002870F3" w:rsidRDefault="002870F3" w:rsidP="002870F3">
      <w:pPr>
        <w:spacing w:line="240" w:lineRule="atLeast"/>
        <w:jc w:val="both"/>
        <w:rPr>
          <w:rFonts w:ascii="Times New Roman" w:hAnsi="Times New Roman"/>
          <w:szCs w:val="24"/>
          <w:lang w:val="es-PE"/>
        </w:rPr>
      </w:pPr>
    </w:p>
    <w:p w:rsidR="002870F3" w:rsidRPr="00234AFE" w:rsidRDefault="002870F3" w:rsidP="002870F3">
      <w:pPr>
        <w:spacing w:line="240" w:lineRule="atLeast"/>
        <w:jc w:val="both"/>
        <w:rPr>
          <w:rFonts w:ascii="Times New Roman" w:hAnsi="Times New Roman"/>
          <w:szCs w:val="24"/>
          <w:lang w:val="es-PE"/>
        </w:rPr>
      </w:pPr>
    </w:p>
    <w:p w:rsidR="002870F3" w:rsidRPr="00234AFE" w:rsidRDefault="002870F3" w:rsidP="002870F3">
      <w:pPr>
        <w:spacing w:line="240" w:lineRule="atLeast"/>
        <w:jc w:val="both"/>
        <w:rPr>
          <w:rFonts w:ascii="Times New Roman" w:hAnsi="Times New Roman"/>
          <w:szCs w:val="24"/>
          <w:lang w:val="es-PE"/>
        </w:rPr>
      </w:pPr>
      <w:r w:rsidRPr="00234AFE">
        <w:rPr>
          <w:rFonts w:ascii="Times New Roman" w:hAnsi="Times New Roman"/>
          <w:szCs w:val="24"/>
          <w:lang w:val="es-PE"/>
        </w:rPr>
        <w:lastRenderedPageBreak/>
        <w:t xml:space="preserve">El riesgo de desarrollar </w:t>
      </w:r>
      <w:proofErr w:type="spellStart"/>
      <w:r w:rsidRPr="00234AFE">
        <w:rPr>
          <w:rFonts w:ascii="Times New Roman" w:hAnsi="Times New Roman"/>
          <w:szCs w:val="24"/>
          <w:lang w:val="es-PE"/>
        </w:rPr>
        <w:t>rabdomiólisis</w:t>
      </w:r>
      <w:proofErr w:type="spellEnd"/>
      <w:r w:rsidRPr="00234AFE">
        <w:rPr>
          <w:rFonts w:ascii="Times New Roman" w:hAnsi="Times New Roman"/>
          <w:szCs w:val="24"/>
          <w:lang w:val="es-PE"/>
        </w:rPr>
        <w:t xml:space="preserve"> puede aumentar en pacientes con factores de predisposición a</w:t>
      </w:r>
      <w:r>
        <w:rPr>
          <w:rFonts w:ascii="Times New Roman" w:hAnsi="Times New Roman"/>
          <w:szCs w:val="24"/>
          <w:lang w:val="es-PE"/>
        </w:rPr>
        <w:t xml:space="preserve"> </w:t>
      </w:r>
      <w:r w:rsidRPr="00234AFE">
        <w:rPr>
          <w:rFonts w:ascii="Times New Roman" w:hAnsi="Times New Roman"/>
          <w:szCs w:val="24"/>
          <w:lang w:val="es-PE"/>
        </w:rPr>
        <w:t xml:space="preserve">miopatías y/o </w:t>
      </w:r>
      <w:proofErr w:type="spellStart"/>
      <w:r w:rsidRPr="00234AFE">
        <w:rPr>
          <w:rFonts w:ascii="Times New Roman" w:hAnsi="Times New Roman"/>
          <w:szCs w:val="24"/>
          <w:lang w:val="es-PE"/>
        </w:rPr>
        <w:t>rabdomiólisis</w:t>
      </w:r>
      <w:proofErr w:type="spellEnd"/>
      <w:r w:rsidRPr="00234AFE">
        <w:rPr>
          <w:rFonts w:ascii="Times New Roman" w:hAnsi="Times New Roman"/>
          <w:szCs w:val="24"/>
          <w:lang w:val="es-PE"/>
        </w:rPr>
        <w:t>, incluyendo a mayores de 70 años, historial personal o familiar de trastornos</w:t>
      </w:r>
      <w:r>
        <w:rPr>
          <w:rFonts w:ascii="Times New Roman" w:hAnsi="Times New Roman"/>
          <w:szCs w:val="24"/>
          <w:lang w:val="es-PE"/>
        </w:rPr>
        <w:t xml:space="preserve"> </w:t>
      </w:r>
      <w:r w:rsidRPr="00234AFE">
        <w:rPr>
          <w:rFonts w:ascii="Times New Roman" w:hAnsi="Times New Roman"/>
          <w:szCs w:val="24"/>
          <w:lang w:val="es-PE"/>
        </w:rPr>
        <w:t>musculares hereditarios, insuficiencia renal, hipotiroidismo y a los que ingieren grandes cantidades de</w:t>
      </w:r>
      <w:r>
        <w:rPr>
          <w:rFonts w:ascii="Times New Roman" w:hAnsi="Times New Roman"/>
          <w:szCs w:val="24"/>
          <w:lang w:val="es-PE"/>
        </w:rPr>
        <w:t xml:space="preserve"> </w:t>
      </w:r>
      <w:r w:rsidRPr="00234AFE">
        <w:rPr>
          <w:rFonts w:ascii="Times New Roman" w:hAnsi="Times New Roman"/>
          <w:szCs w:val="24"/>
          <w:lang w:val="es-PE"/>
        </w:rPr>
        <w:t xml:space="preserve">alcohol. </w:t>
      </w:r>
      <w:r>
        <w:rPr>
          <w:rFonts w:ascii="Times New Roman" w:hAnsi="Times New Roman"/>
          <w:szCs w:val="24"/>
          <w:lang w:val="es-PE"/>
        </w:rPr>
        <w:t>Se d</w:t>
      </w:r>
      <w:r w:rsidRPr="00234AFE">
        <w:rPr>
          <w:rFonts w:ascii="Times New Roman" w:hAnsi="Times New Roman"/>
          <w:szCs w:val="24"/>
          <w:lang w:val="es-PE"/>
        </w:rPr>
        <w:t>eberá tener especial precaución con estos pacientes y sopesar cuidadosamente la relación entre</w:t>
      </w:r>
      <w:r>
        <w:rPr>
          <w:rFonts w:ascii="Times New Roman" w:hAnsi="Times New Roman"/>
          <w:szCs w:val="24"/>
          <w:lang w:val="es-PE"/>
        </w:rPr>
        <w:t xml:space="preserve"> </w:t>
      </w:r>
      <w:r w:rsidRPr="00234AFE">
        <w:rPr>
          <w:rFonts w:ascii="Times New Roman" w:hAnsi="Times New Roman"/>
          <w:szCs w:val="24"/>
          <w:lang w:val="es-PE"/>
        </w:rPr>
        <w:t xml:space="preserve">los posibles beneficios y los riesgos de la terapia con </w:t>
      </w:r>
      <w:proofErr w:type="spellStart"/>
      <w:r w:rsidRPr="00234AFE">
        <w:rPr>
          <w:rFonts w:ascii="Times New Roman" w:hAnsi="Times New Roman"/>
          <w:szCs w:val="24"/>
          <w:lang w:val="es-PE"/>
        </w:rPr>
        <w:t>fenofibrato</w:t>
      </w:r>
      <w:proofErr w:type="spellEnd"/>
      <w:r w:rsidRPr="00234AFE">
        <w:rPr>
          <w:rFonts w:ascii="Times New Roman" w:hAnsi="Times New Roman"/>
          <w:szCs w:val="24"/>
          <w:lang w:val="es-PE"/>
        </w:rPr>
        <w:t>.</w:t>
      </w:r>
    </w:p>
    <w:p w:rsidR="002870F3" w:rsidRDefault="002870F3" w:rsidP="002870F3">
      <w:pPr>
        <w:spacing w:line="240" w:lineRule="atLeast"/>
        <w:jc w:val="both"/>
        <w:rPr>
          <w:rFonts w:ascii="Times New Roman" w:hAnsi="Times New Roman"/>
          <w:szCs w:val="24"/>
          <w:lang w:val="es-PE"/>
        </w:rPr>
      </w:pPr>
    </w:p>
    <w:p w:rsidR="002870F3" w:rsidRPr="00E264B5" w:rsidRDefault="002870F3" w:rsidP="002870F3">
      <w:pPr>
        <w:spacing w:line="240" w:lineRule="atLeast"/>
        <w:jc w:val="both"/>
        <w:rPr>
          <w:rFonts w:ascii="Times New Roman" w:hAnsi="Times New Roman"/>
          <w:szCs w:val="24"/>
          <w:u w:val="single"/>
          <w:lang w:val="es-PE"/>
        </w:rPr>
      </w:pPr>
      <w:r w:rsidRPr="00E264B5">
        <w:rPr>
          <w:rFonts w:ascii="Times New Roman" w:hAnsi="Times New Roman"/>
          <w:szCs w:val="24"/>
          <w:u w:val="single"/>
          <w:lang w:val="es-PE"/>
        </w:rPr>
        <w:t>Pancreatitis</w:t>
      </w:r>
    </w:p>
    <w:p w:rsidR="002870F3" w:rsidRDefault="002870F3" w:rsidP="002870F3">
      <w:pPr>
        <w:spacing w:line="240" w:lineRule="atLeast"/>
        <w:jc w:val="both"/>
        <w:rPr>
          <w:rFonts w:ascii="Times New Roman" w:hAnsi="Times New Roman"/>
          <w:szCs w:val="24"/>
          <w:lang w:val="es-PE"/>
        </w:rPr>
      </w:pPr>
      <w:r w:rsidRPr="00234AFE">
        <w:rPr>
          <w:rFonts w:ascii="Times New Roman" w:hAnsi="Times New Roman"/>
          <w:szCs w:val="24"/>
          <w:lang w:val="es-PE"/>
        </w:rPr>
        <w:t xml:space="preserve">Se ha observado la aparición de pancreatitis en pacientes en tratamiento con </w:t>
      </w:r>
      <w:proofErr w:type="spellStart"/>
      <w:r w:rsidRPr="00234AFE">
        <w:rPr>
          <w:rFonts w:ascii="Times New Roman" w:hAnsi="Times New Roman"/>
          <w:szCs w:val="24"/>
          <w:lang w:val="es-PE"/>
        </w:rPr>
        <w:t>fenofibrato</w:t>
      </w:r>
      <w:proofErr w:type="spellEnd"/>
      <w:r w:rsidRPr="00234AFE">
        <w:rPr>
          <w:rFonts w:ascii="Times New Roman" w:hAnsi="Times New Roman"/>
          <w:szCs w:val="24"/>
          <w:lang w:val="es-PE"/>
        </w:rPr>
        <w:t>. Este</w:t>
      </w:r>
      <w:r>
        <w:rPr>
          <w:rFonts w:ascii="Times New Roman" w:hAnsi="Times New Roman"/>
          <w:szCs w:val="24"/>
          <w:lang w:val="es-PE"/>
        </w:rPr>
        <w:t xml:space="preserve"> </w:t>
      </w:r>
      <w:r w:rsidRPr="00234AFE">
        <w:rPr>
          <w:rFonts w:ascii="Times New Roman" w:hAnsi="Times New Roman"/>
          <w:szCs w:val="24"/>
          <w:lang w:val="es-PE"/>
        </w:rPr>
        <w:t xml:space="preserve">acontecimiento puede ser el resultado de una falta de eficacia en pacientes con una </w:t>
      </w:r>
      <w:proofErr w:type="spellStart"/>
      <w:r w:rsidRPr="00234AFE">
        <w:rPr>
          <w:rFonts w:ascii="Times New Roman" w:hAnsi="Times New Roman"/>
          <w:szCs w:val="24"/>
          <w:lang w:val="es-PE"/>
        </w:rPr>
        <w:t>hipertrigliceridemia</w:t>
      </w:r>
      <w:proofErr w:type="spellEnd"/>
      <w:r>
        <w:rPr>
          <w:rFonts w:ascii="Times New Roman" w:hAnsi="Times New Roman"/>
          <w:szCs w:val="24"/>
          <w:lang w:val="es-PE"/>
        </w:rPr>
        <w:t xml:space="preserve"> </w:t>
      </w:r>
      <w:r w:rsidRPr="00234AFE">
        <w:rPr>
          <w:rFonts w:ascii="Times New Roman" w:hAnsi="Times New Roman"/>
          <w:szCs w:val="24"/>
          <w:lang w:val="es-PE"/>
        </w:rPr>
        <w:t>grave, de un efecto directo del fármaco, o de un fenómeno secundario en el cual interviene la formación de</w:t>
      </w:r>
      <w:r>
        <w:rPr>
          <w:rFonts w:ascii="Times New Roman" w:hAnsi="Times New Roman"/>
          <w:szCs w:val="24"/>
          <w:lang w:val="es-PE"/>
        </w:rPr>
        <w:t xml:space="preserve"> </w:t>
      </w:r>
      <w:r w:rsidRPr="00234AFE">
        <w:rPr>
          <w:rFonts w:ascii="Times New Roman" w:hAnsi="Times New Roman"/>
          <w:szCs w:val="24"/>
          <w:lang w:val="es-PE"/>
        </w:rPr>
        <w:t>cálculos biliares o sedimentos con obstrucción del conducto biliar común.</w:t>
      </w:r>
    </w:p>
    <w:p w:rsidR="002870F3" w:rsidRPr="00E264B5" w:rsidRDefault="002870F3" w:rsidP="002870F3">
      <w:pPr>
        <w:spacing w:line="240" w:lineRule="atLeast"/>
        <w:jc w:val="both"/>
        <w:rPr>
          <w:rFonts w:ascii="Times New Roman" w:hAnsi="Times New Roman"/>
          <w:szCs w:val="24"/>
          <w:u w:val="single"/>
          <w:lang w:val="es-PE"/>
        </w:rPr>
      </w:pPr>
    </w:p>
    <w:p w:rsidR="002870F3" w:rsidRPr="00E264B5" w:rsidRDefault="002870F3" w:rsidP="002870F3">
      <w:pPr>
        <w:spacing w:line="240" w:lineRule="atLeast"/>
        <w:jc w:val="both"/>
        <w:rPr>
          <w:rFonts w:ascii="Times New Roman" w:hAnsi="Times New Roman"/>
          <w:szCs w:val="24"/>
          <w:u w:val="single"/>
          <w:lang w:val="es-PE"/>
        </w:rPr>
      </w:pPr>
      <w:r w:rsidRPr="00E264B5">
        <w:rPr>
          <w:rFonts w:ascii="Times New Roman" w:hAnsi="Times New Roman"/>
          <w:szCs w:val="24"/>
          <w:u w:val="single"/>
          <w:lang w:val="es-PE"/>
        </w:rPr>
        <w:t>Función renal</w:t>
      </w:r>
    </w:p>
    <w:p w:rsidR="002870F3" w:rsidRDefault="002870F3" w:rsidP="002870F3">
      <w:pPr>
        <w:spacing w:line="240" w:lineRule="atLeast"/>
        <w:jc w:val="both"/>
        <w:rPr>
          <w:rFonts w:ascii="Times New Roman" w:hAnsi="Times New Roman"/>
          <w:szCs w:val="24"/>
          <w:lang w:val="es-PE"/>
        </w:rPr>
      </w:pPr>
      <w:r w:rsidRPr="00234AFE">
        <w:rPr>
          <w:rFonts w:ascii="Times New Roman" w:hAnsi="Times New Roman"/>
          <w:szCs w:val="24"/>
          <w:lang w:val="es-PE"/>
        </w:rPr>
        <w:t>El tratamiento deberá interrumpirse cuando los niveles de creatinina sean superiores al 50% del límite</w:t>
      </w:r>
      <w:r>
        <w:rPr>
          <w:rFonts w:ascii="Times New Roman" w:hAnsi="Times New Roman"/>
          <w:szCs w:val="24"/>
          <w:lang w:val="es-PE"/>
        </w:rPr>
        <w:t xml:space="preserve"> </w:t>
      </w:r>
      <w:r w:rsidRPr="00234AFE">
        <w:rPr>
          <w:rFonts w:ascii="Times New Roman" w:hAnsi="Times New Roman"/>
          <w:szCs w:val="24"/>
          <w:lang w:val="es-PE"/>
        </w:rPr>
        <w:t>superior del valor normal. Se recomienda monitorizar los niveles de creatinina durante los 3 primeros</w:t>
      </w:r>
      <w:r>
        <w:rPr>
          <w:rFonts w:ascii="Times New Roman" w:hAnsi="Times New Roman"/>
          <w:szCs w:val="24"/>
          <w:lang w:val="es-PE"/>
        </w:rPr>
        <w:t xml:space="preserve"> </w:t>
      </w:r>
      <w:r w:rsidRPr="00234AFE">
        <w:rPr>
          <w:rFonts w:ascii="Times New Roman" w:hAnsi="Times New Roman"/>
          <w:szCs w:val="24"/>
          <w:lang w:val="es-PE"/>
        </w:rPr>
        <w:t>meses del tratamiento</w:t>
      </w:r>
      <w:r>
        <w:rPr>
          <w:rFonts w:ascii="Times New Roman" w:hAnsi="Times New Roman"/>
          <w:szCs w:val="24"/>
          <w:lang w:val="es-PE"/>
        </w:rPr>
        <w:t>.</w:t>
      </w:r>
    </w:p>
    <w:p w:rsidR="002870F3" w:rsidRPr="00890B91" w:rsidRDefault="002870F3" w:rsidP="002870F3">
      <w:pPr>
        <w:spacing w:line="240" w:lineRule="atLeast"/>
        <w:jc w:val="both"/>
        <w:rPr>
          <w:rFonts w:ascii="Times New Roman" w:hAnsi="Times New Roman"/>
          <w:szCs w:val="24"/>
          <w:lang w:val="es-PE"/>
        </w:rPr>
      </w:pPr>
    </w:p>
    <w:p w:rsidR="002870F3" w:rsidRPr="005429A9" w:rsidRDefault="002870F3" w:rsidP="002870F3">
      <w:pPr>
        <w:spacing w:line="240" w:lineRule="atLeast"/>
        <w:jc w:val="both"/>
        <w:rPr>
          <w:rFonts w:ascii="Times New Roman" w:hAnsi="Times New Roman"/>
          <w:b/>
          <w:szCs w:val="24"/>
          <w:lang w:val="es-PE"/>
        </w:rPr>
      </w:pPr>
      <w:r w:rsidRPr="005429A9">
        <w:rPr>
          <w:rFonts w:ascii="Times New Roman" w:hAnsi="Times New Roman"/>
          <w:b/>
          <w:szCs w:val="24"/>
          <w:lang w:val="es-PE"/>
        </w:rPr>
        <w:t>Efectos sobre la capacidad para conducir y utilizar máquinas</w:t>
      </w:r>
    </w:p>
    <w:p w:rsidR="002870F3" w:rsidRPr="00890B91" w:rsidRDefault="002870F3" w:rsidP="002870F3">
      <w:pPr>
        <w:spacing w:line="240" w:lineRule="atLeast"/>
        <w:jc w:val="both"/>
        <w:rPr>
          <w:rFonts w:ascii="Times New Roman" w:hAnsi="Times New Roman"/>
          <w:szCs w:val="24"/>
          <w:lang w:val="es-PE"/>
        </w:rPr>
      </w:pPr>
      <w:r>
        <w:rPr>
          <w:rFonts w:ascii="Times New Roman" w:hAnsi="Times New Roman"/>
          <w:szCs w:val="24"/>
          <w:lang w:val="es-PE"/>
        </w:rPr>
        <w:t>No se ha observado ningún efecto significante sobre la capacidad para conducir o utilizar máquinas.</w:t>
      </w:r>
    </w:p>
    <w:p w:rsidR="002870F3" w:rsidRDefault="002870F3" w:rsidP="002870F3">
      <w:pPr>
        <w:tabs>
          <w:tab w:val="left" w:pos="6480"/>
        </w:tabs>
        <w:jc w:val="both"/>
        <w:rPr>
          <w:rFonts w:ascii="Times New Roman" w:hAnsi="Times New Roman"/>
          <w:b/>
          <w:lang w:val="es-MX"/>
        </w:rPr>
      </w:pPr>
    </w:p>
    <w:p w:rsidR="002870F3" w:rsidRPr="00890B91" w:rsidRDefault="002870F3" w:rsidP="002870F3">
      <w:pPr>
        <w:tabs>
          <w:tab w:val="left" w:pos="6480"/>
        </w:tabs>
        <w:jc w:val="both"/>
        <w:rPr>
          <w:rFonts w:ascii="Times New Roman" w:hAnsi="Times New Roman"/>
          <w:b/>
          <w:lang w:val="es-MX"/>
        </w:rPr>
      </w:pPr>
      <w:r w:rsidRPr="00890B91">
        <w:rPr>
          <w:rFonts w:ascii="Times New Roman" w:hAnsi="Times New Roman"/>
          <w:b/>
          <w:lang w:val="es-MX"/>
        </w:rPr>
        <w:t>EMBARAZO Y LACTANCIA</w:t>
      </w:r>
    </w:p>
    <w:p w:rsidR="002870F3" w:rsidRPr="00890B91" w:rsidRDefault="002870F3" w:rsidP="002870F3">
      <w:pPr>
        <w:jc w:val="both"/>
        <w:rPr>
          <w:rFonts w:ascii="Times New Roman" w:hAnsi="Times New Roman"/>
          <w:lang w:val="es-CL"/>
        </w:rPr>
      </w:pPr>
      <w:r w:rsidRPr="00890B91">
        <w:rPr>
          <w:rStyle w:val="Textoennegrita"/>
          <w:rFonts w:ascii="Times New Roman" w:hAnsi="Times New Roman"/>
          <w:i/>
          <w:iCs/>
        </w:rPr>
        <w:t>Embarazo:</w:t>
      </w:r>
      <w:r w:rsidRPr="00890B91">
        <w:rPr>
          <w:rFonts w:ascii="Times New Roman" w:hAnsi="Times New Roman"/>
        </w:rPr>
        <w:t xml:space="preserve"> </w:t>
      </w:r>
    </w:p>
    <w:p w:rsidR="002870F3" w:rsidRPr="005429A9" w:rsidRDefault="002870F3" w:rsidP="002870F3">
      <w:pPr>
        <w:spacing w:line="240" w:lineRule="atLeast"/>
        <w:jc w:val="both"/>
        <w:rPr>
          <w:rFonts w:ascii="Times New Roman" w:hAnsi="Times New Roman"/>
          <w:szCs w:val="24"/>
        </w:rPr>
      </w:pPr>
      <w:r w:rsidRPr="005429A9">
        <w:rPr>
          <w:rFonts w:ascii="Times New Roman" w:hAnsi="Times New Roman"/>
          <w:szCs w:val="24"/>
        </w:rPr>
        <w:t xml:space="preserve">No se dispone de datos sobre el uso del </w:t>
      </w:r>
      <w:proofErr w:type="spellStart"/>
      <w:r w:rsidRPr="005429A9">
        <w:rPr>
          <w:rFonts w:ascii="Times New Roman" w:hAnsi="Times New Roman"/>
          <w:szCs w:val="24"/>
        </w:rPr>
        <w:t>fenofibrato</w:t>
      </w:r>
      <w:proofErr w:type="spellEnd"/>
      <w:r w:rsidRPr="005429A9">
        <w:rPr>
          <w:rFonts w:ascii="Times New Roman" w:hAnsi="Times New Roman"/>
          <w:szCs w:val="24"/>
        </w:rPr>
        <w:t xml:space="preserve"> en mujeres embarazadas. Los estudios en animales no</w:t>
      </w:r>
      <w:r>
        <w:rPr>
          <w:rFonts w:ascii="Times New Roman" w:hAnsi="Times New Roman"/>
          <w:szCs w:val="24"/>
        </w:rPr>
        <w:t xml:space="preserve"> </w:t>
      </w:r>
      <w:r w:rsidRPr="005429A9">
        <w:rPr>
          <w:rFonts w:ascii="Times New Roman" w:hAnsi="Times New Roman"/>
          <w:szCs w:val="24"/>
        </w:rPr>
        <w:t xml:space="preserve">demostraron ningún efecto </w:t>
      </w:r>
      <w:proofErr w:type="spellStart"/>
      <w:r w:rsidRPr="005429A9">
        <w:rPr>
          <w:rFonts w:ascii="Times New Roman" w:hAnsi="Times New Roman"/>
          <w:szCs w:val="24"/>
        </w:rPr>
        <w:t>teratogénico</w:t>
      </w:r>
      <w:proofErr w:type="spellEnd"/>
      <w:r w:rsidRPr="005429A9">
        <w:rPr>
          <w:rFonts w:ascii="Times New Roman" w:hAnsi="Times New Roman"/>
          <w:szCs w:val="24"/>
        </w:rPr>
        <w:t xml:space="preserve">. Los efectos </w:t>
      </w:r>
      <w:proofErr w:type="spellStart"/>
      <w:r w:rsidRPr="005429A9">
        <w:rPr>
          <w:rFonts w:ascii="Times New Roman" w:hAnsi="Times New Roman"/>
          <w:szCs w:val="24"/>
        </w:rPr>
        <w:t>embriotóxicos</w:t>
      </w:r>
      <w:proofErr w:type="spellEnd"/>
      <w:r w:rsidRPr="005429A9">
        <w:rPr>
          <w:rFonts w:ascii="Times New Roman" w:hAnsi="Times New Roman"/>
          <w:szCs w:val="24"/>
        </w:rPr>
        <w:t xml:space="preserve"> han sido observados a las dosis de</w:t>
      </w:r>
      <w:r>
        <w:rPr>
          <w:rFonts w:ascii="Times New Roman" w:hAnsi="Times New Roman"/>
          <w:szCs w:val="24"/>
        </w:rPr>
        <w:t xml:space="preserve"> </w:t>
      </w:r>
      <w:r w:rsidRPr="005429A9">
        <w:rPr>
          <w:rFonts w:ascii="Times New Roman" w:hAnsi="Times New Roman"/>
          <w:szCs w:val="24"/>
        </w:rPr>
        <w:t>toxicidad materna. El riesgo potencial para los humanos no es conocido. Por lo tanto,</w:t>
      </w:r>
      <w:r>
        <w:rPr>
          <w:rFonts w:ascii="Times New Roman" w:hAnsi="Times New Roman"/>
          <w:szCs w:val="24"/>
        </w:rPr>
        <w:t xml:space="preserve"> </w:t>
      </w:r>
      <w:proofErr w:type="spellStart"/>
      <w:r w:rsidRPr="005429A9">
        <w:rPr>
          <w:rFonts w:ascii="Times New Roman" w:hAnsi="Times New Roman"/>
          <w:szCs w:val="24"/>
        </w:rPr>
        <w:t>fenofibrato</w:t>
      </w:r>
      <w:proofErr w:type="spellEnd"/>
      <w:r w:rsidRPr="005429A9">
        <w:rPr>
          <w:rFonts w:ascii="Times New Roman" w:hAnsi="Times New Roman"/>
          <w:szCs w:val="24"/>
        </w:rPr>
        <w:t xml:space="preserve"> deberá ser administrado en el embarazo sólo tras una cuidadosa valoración de la relación</w:t>
      </w:r>
      <w:r>
        <w:rPr>
          <w:rFonts w:ascii="Times New Roman" w:hAnsi="Times New Roman"/>
          <w:szCs w:val="24"/>
        </w:rPr>
        <w:t xml:space="preserve"> </w:t>
      </w:r>
      <w:r w:rsidRPr="005429A9">
        <w:rPr>
          <w:rFonts w:ascii="Times New Roman" w:hAnsi="Times New Roman"/>
          <w:szCs w:val="24"/>
        </w:rPr>
        <w:t>beneficio/riesgo.</w:t>
      </w:r>
    </w:p>
    <w:p w:rsidR="002870F3" w:rsidRPr="00890B91" w:rsidRDefault="002870F3" w:rsidP="002870F3">
      <w:pPr>
        <w:jc w:val="both"/>
        <w:rPr>
          <w:rFonts w:ascii="Times New Roman" w:hAnsi="Times New Roman"/>
        </w:rPr>
      </w:pPr>
      <w:r w:rsidRPr="00890B91">
        <w:rPr>
          <w:rFonts w:ascii="Times New Roman" w:hAnsi="Times New Roman"/>
        </w:rPr>
        <w:br/>
      </w:r>
      <w:r w:rsidRPr="00890B91">
        <w:rPr>
          <w:rStyle w:val="nfasis"/>
          <w:rFonts w:ascii="Times New Roman" w:hAnsi="Times New Roman"/>
          <w:b/>
          <w:bCs/>
        </w:rPr>
        <w:t>Lactancia:</w:t>
      </w:r>
      <w:r w:rsidRPr="00890B91">
        <w:rPr>
          <w:rFonts w:ascii="Times New Roman" w:hAnsi="Times New Roman"/>
        </w:rPr>
        <w:t xml:space="preserve"> </w:t>
      </w:r>
    </w:p>
    <w:p w:rsidR="002870F3" w:rsidRPr="00890B91" w:rsidRDefault="002870F3" w:rsidP="002870F3">
      <w:pPr>
        <w:spacing w:line="240" w:lineRule="atLeast"/>
        <w:jc w:val="both"/>
        <w:rPr>
          <w:rFonts w:ascii="Times New Roman" w:hAnsi="Times New Roman"/>
          <w:szCs w:val="24"/>
        </w:rPr>
      </w:pPr>
      <w:r w:rsidRPr="005429A9">
        <w:rPr>
          <w:rFonts w:ascii="Times New Roman" w:hAnsi="Times New Roman"/>
          <w:szCs w:val="24"/>
        </w:rPr>
        <w:t xml:space="preserve">No hay datos sobre la excreción de </w:t>
      </w:r>
      <w:proofErr w:type="spellStart"/>
      <w:r w:rsidRPr="005429A9">
        <w:rPr>
          <w:rFonts w:ascii="Times New Roman" w:hAnsi="Times New Roman"/>
          <w:szCs w:val="24"/>
        </w:rPr>
        <w:t>fenofibrato</w:t>
      </w:r>
      <w:proofErr w:type="spellEnd"/>
      <w:r w:rsidRPr="005429A9">
        <w:rPr>
          <w:rFonts w:ascii="Times New Roman" w:hAnsi="Times New Roman"/>
          <w:szCs w:val="24"/>
        </w:rPr>
        <w:t xml:space="preserve"> o de sus metabolitos en la leche materna. Por consiguiente,</w:t>
      </w:r>
      <w:r>
        <w:rPr>
          <w:rFonts w:ascii="Times New Roman" w:hAnsi="Times New Roman"/>
          <w:szCs w:val="24"/>
        </w:rPr>
        <w:t xml:space="preserve"> </w:t>
      </w:r>
      <w:proofErr w:type="spellStart"/>
      <w:r w:rsidRPr="005429A9">
        <w:rPr>
          <w:rFonts w:ascii="Times New Roman" w:hAnsi="Times New Roman"/>
          <w:szCs w:val="24"/>
        </w:rPr>
        <w:t>fenofibrato</w:t>
      </w:r>
      <w:proofErr w:type="spellEnd"/>
      <w:r w:rsidRPr="005429A9">
        <w:rPr>
          <w:rFonts w:ascii="Times New Roman" w:hAnsi="Times New Roman"/>
          <w:szCs w:val="24"/>
        </w:rPr>
        <w:t xml:space="preserve"> no deberá ser administrado en madres en periodo de lactancia.</w:t>
      </w:r>
    </w:p>
    <w:p w:rsidR="002870F3" w:rsidRPr="00890B91" w:rsidRDefault="002870F3" w:rsidP="002870F3">
      <w:pPr>
        <w:jc w:val="both"/>
        <w:rPr>
          <w:rFonts w:ascii="Times New Roman" w:hAnsi="Times New Roman"/>
        </w:rPr>
      </w:pPr>
    </w:p>
    <w:p w:rsidR="002870F3" w:rsidRPr="00890B91" w:rsidRDefault="002870F3" w:rsidP="002870F3">
      <w:pPr>
        <w:spacing w:line="240" w:lineRule="atLeast"/>
        <w:jc w:val="both"/>
        <w:rPr>
          <w:rFonts w:ascii="Times New Roman" w:hAnsi="Times New Roman"/>
          <w:b/>
          <w:szCs w:val="24"/>
        </w:rPr>
      </w:pPr>
      <w:r w:rsidRPr="00890B91">
        <w:rPr>
          <w:rFonts w:ascii="Times New Roman" w:hAnsi="Times New Roman"/>
          <w:b/>
          <w:szCs w:val="24"/>
        </w:rPr>
        <w:t>REACCIONES ADVERSAS</w:t>
      </w:r>
    </w:p>
    <w:p w:rsidR="002870F3" w:rsidRPr="00EF284C" w:rsidRDefault="002870F3" w:rsidP="002870F3">
      <w:pPr>
        <w:jc w:val="both"/>
        <w:rPr>
          <w:rFonts w:ascii="Times New Roman" w:hAnsi="Times New Roman"/>
          <w:szCs w:val="24"/>
          <w:lang w:val="es-CL"/>
        </w:rPr>
      </w:pPr>
      <w:r w:rsidRPr="00EF284C">
        <w:rPr>
          <w:rFonts w:ascii="Times New Roman" w:hAnsi="Times New Roman"/>
          <w:szCs w:val="24"/>
          <w:lang w:val="es-CL"/>
        </w:rPr>
        <w:t>Se han observado y notificado las siguientes reacciones adversas con las siguientes frecuencias: muy frecuentes (≥1/10); frecuentes (≥1/100 a &lt;1/10); poco frecuentes (≥1/1.000 a ≤1/100); raras (≥1/10.000 a ≤1/1.000); muy raras (≤1/10.000).</w:t>
      </w:r>
    </w:p>
    <w:p w:rsidR="002870F3" w:rsidRDefault="002870F3" w:rsidP="002870F3">
      <w:pPr>
        <w:spacing w:line="240" w:lineRule="atLeast"/>
        <w:jc w:val="both"/>
        <w:rPr>
          <w:rFonts w:ascii="Times New Roman" w:hAnsi="Times New Roman"/>
          <w:szCs w:val="24"/>
        </w:rPr>
      </w:pPr>
    </w:p>
    <w:p w:rsidR="002870F3" w:rsidRPr="005429A9" w:rsidRDefault="002870F3" w:rsidP="002870F3">
      <w:pPr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  <w:szCs w:val="24"/>
        </w:rPr>
      </w:pPr>
      <w:r w:rsidRPr="00E264B5">
        <w:rPr>
          <w:rFonts w:ascii="Times New Roman" w:hAnsi="Times New Roman"/>
          <w:szCs w:val="24"/>
          <w:u w:val="single"/>
        </w:rPr>
        <w:t>Trastornos del sistema linfático y sanguíneo</w:t>
      </w:r>
      <w:r w:rsidRPr="00E264B5">
        <w:rPr>
          <w:rFonts w:ascii="Times New Roman" w:hAnsi="Times New Roman"/>
          <w:szCs w:val="24"/>
        </w:rPr>
        <w:t xml:space="preserve">: </w:t>
      </w:r>
      <w:r w:rsidRPr="00E264B5">
        <w:rPr>
          <w:rFonts w:ascii="Times New Roman" w:hAnsi="Times New Roman"/>
          <w:i/>
          <w:szCs w:val="24"/>
        </w:rPr>
        <w:t>Raros</w:t>
      </w:r>
      <w:r w:rsidRPr="005429A9">
        <w:rPr>
          <w:rFonts w:ascii="Times New Roman" w:hAnsi="Times New Roman"/>
          <w:szCs w:val="24"/>
        </w:rPr>
        <w:t>: disminuciones de las tasas de hemoglobina y leucocitos.</w:t>
      </w:r>
    </w:p>
    <w:p w:rsidR="002870F3" w:rsidRPr="005429A9" w:rsidRDefault="002870F3" w:rsidP="002870F3">
      <w:pPr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  <w:szCs w:val="24"/>
        </w:rPr>
      </w:pPr>
      <w:r w:rsidRPr="00E264B5">
        <w:rPr>
          <w:rFonts w:ascii="Times New Roman" w:hAnsi="Times New Roman"/>
          <w:szCs w:val="24"/>
          <w:u w:val="single"/>
        </w:rPr>
        <w:t>Trastornos del sistema nervioso:</w:t>
      </w:r>
      <w:r>
        <w:rPr>
          <w:rFonts w:ascii="Times New Roman" w:hAnsi="Times New Roman"/>
          <w:szCs w:val="24"/>
        </w:rPr>
        <w:t xml:space="preserve"> </w:t>
      </w:r>
      <w:r w:rsidRPr="00E264B5">
        <w:rPr>
          <w:rFonts w:ascii="Times New Roman" w:hAnsi="Times New Roman"/>
          <w:i/>
          <w:szCs w:val="24"/>
        </w:rPr>
        <w:t>Raros</w:t>
      </w:r>
      <w:r w:rsidRPr="005429A9">
        <w:rPr>
          <w:rFonts w:ascii="Times New Roman" w:hAnsi="Times New Roman"/>
          <w:szCs w:val="24"/>
        </w:rPr>
        <w:t>: astenia sexual.</w:t>
      </w:r>
    </w:p>
    <w:p w:rsidR="002870F3" w:rsidRPr="005429A9" w:rsidRDefault="002870F3" w:rsidP="002870F3">
      <w:pPr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  <w:szCs w:val="24"/>
        </w:rPr>
      </w:pPr>
      <w:r w:rsidRPr="00E264B5">
        <w:rPr>
          <w:rFonts w:ascii="Times New Roman" w:hAnsi="Times New Roman"/>
          <w:szCs w:val="24"/>
          <w:u w:val="single"/>
        </w:rPr>
        <w:t xml:space="preserve">Trastornos respiratorios, torácicos y </w:t>
      </w:r>
      <w:proofErr w:type="spellStart"/>
      <w:r w:rsidRPr="00E264B5">
        <w:rPr>
          <w:rFonts w:ascii="Times New Roman" w:hAnsi="Times New Roman"/>
          <w:szCs w:val="24"/>
          <w:u w:val="single"/>
        </w:rPr>
        <w:t>mediastínicos</w:t>
      </w:r>
      <w:proofErr w:type="spellEnd"/>
      <w:r>
        <w:rPr>
          <w:rFonts w:ascii="Times New Roman" w:hAnsi="Times New Roman"/>
          <w:szCs w:val="24"/>
        </w:rPr>
        <w:t xml:space="preserve">: </w:t>
      </w:r>
      <w:r w:rsidRPr="00E264B5">
        <w:rPr>
          <w:rFonts w:ascii="Times New Roman" w:hAnsi="Times New Roman"/>
          <w:i/>
          <w:szCs w:val="24"/>
        </w:rPr>
        <w:t>Muy raros</w:t>
      </w:r>
      <w:r w:rsidRPr="005429A9">
        <w:rPr>
          <w:rFonts w:ascii="Times New Roman" w:hAnsi="Times New Roman"/>
          <w:szCs w:val="24"/>
        </w:rPr>
        <w:t xml:space="preserve">: </w:t>
      </w:r>
      <w:proofErr w:type="spellStart"/>
      <w:r w:rsidRPr="005429A9">
        <w:rPr>
          <w:rFonts w:ascii="Times New Roman" w:hAnsi="Times New Roman"/>
          <w:szCs w:val="24"/>
        </w:rPr>
        <w:t>neumopatías</w:t>
      </w:r>
      <w:proofErr w:type="spellEnd"/>
      <w:r w:rsidRPr="005429A9">
        <w:rPr>
          <w:rFonts w:ascii="Times New Roman" w:hAnsi="Times New Roman"/>
          <w:szCs w:val="24"/>
        </w:rPr>
        <w:t xml:space="preserve"> intersticiales.</w:t>
      </w:r>
    </w:p>
    <w:p w:rsidR="002870F3" w:rsidRPr="007432F7" w:rsidRDefault="002870F3" w:rsidP="002870F3">
      <w:pPr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  <w:szCs w:val="24"/>
        </w:rPr>
      </w:pPr>
      <w:r w:rsidRPr="00E264B5">
        <w:rPr>
          <w:rFonts w:ascii="Times New Roman" w:hAnsi="Times New Roman"/>
          <w:szCs w:val="24"/>
          <w:u w:val="single"/>
        </w:rPr>
        <w:t>Trastornos gastrointestinales</w:t>
      </w:r>
      <w:r>
        <w:rPr>
          <w:rFonts w:ascii="Times New Roman" w:hAnsi="Times New Roman"/>
          <w:szCs w:val="24"/>
        </w:rPr>
        <w:t xml:space="preserve">. </w:t>
      </w:r>
      <w:r w:rsidRPr="00E264B5">
        <w:rPr>
          <w:rFonts w:ascii="Times New Roman" w:hAnsi="Times New Roman"/>
          <w:i/>
          <w:szCs w:val="24"/>
        </w:rPr>
        <w:t>Frecuentes</w:t>
      </w:r>
      <w:r w:rsidRPr="007432F7">
        <w:rPr>
          <w:rFonts w:ascii="Times New Roman" w:hAnsi="Times New Roman"/>
          <w:szCs w:val="24"/>
        </w:rPr>
        <w:t>: trastornos digestivos, gástricos o intestinales (dolor abdominal, náuseas, vómitos, diarrea, flatulencia) de moderada intensidad.</w:t>
      </w:r>
      <w:r>
        <w:rPr>
          <w:rFonts w:ascii="Times New Roman" w:hAnsi="Times New Roman"/>
          <w:i/>
          <w:szCs w:val="24"/>
        </w:rPr>
        <w:t xml:space="preserve"> </w:t>
      </w:r>
      <w:r w:rsidRPr="00E264B5">
        <w:rPr>
          <w:rFonts w:ascii="Times New Roman" w:hAnsi="Times New Roman"/>
          <w:i/>
          <w:szCs w:val="24"/>
        </w:rPr>
        <w:t>Muy raros</w:t>
      </w:r>
      <w:r w:rsidRPr="007432F7">
        <w:rPr>
          <w:rFonts w:ascii="Times New Roman" w:hAnsi="Times New Roman"/>
          <w:szCs w:val="24"/>
        </w:rPr>
        <w:t xml:space="preserve">: se han notificado casos de pancreatitis durante el tratamiento con </w:t>
      </w:r>
      <w:proofErr w:type="spellStart"/>
      <w:r w:rsidRPr="007432F7">
        <w:rPr>
          <w:rFonts w:ascii="Times New Roman" w:hAnsi="Times New Roman"/>
          <w:szCs w:val="24"/>
        </w:rPr>
        <w:t>fenofibrato</w:t>
      </w:r>
      <w:proofErr w:type="spellEnd"/>
      <w:r w:rsidRPr="007432F7">
        <w:rPr>
          <w:rFonts w:ascii="Times New Roman" w:hAnsi="Times New Roman"/>
          <w:szCs w:val="24"/>
        </w:rPr>
        <w:t>.</w:t>
      </w:r>
    </w:p>
    <w:p w:rsidR="002870F3" w:rsidRDefault="002870F3" w:rsidP="002870F3">
      <w:pPr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  <w:szCs w:val="24"/>
        </w:rPr>
      </w:pPr>
      <w:r w:rsidRPr="00E264B5">
        <w:rPr>
          <w:rFonts w:ascii="Times New Roman" w:hAnsi="Times New Roman"/>
          <w:szCs w:val="24"/>
          <w:u w:val="single"/>
        </w:rPr>
        <w:t xml:space="preserve">Trastornos </w:t>
      </w:r>
      <w:proofErr w:type="spellStart"/>
      <w:r w:rsidRPr="00E264B5">
        <w:rPr>
          <w:rFonts w:ascii="Times New Roman" w:hAnsi="Times New Roman"/>
          <w:szCs w:val="24"/>
          <w:u w:val="single"/>
        </w:rPr>
        <w:t>hepatobiliares</w:t>
      </w:r>
      <w:proofErr w:type="spellEnd"/>
      <w:r>
        <w:rPr>
          <w:rFonts w:ascii="Times New Roman" w:hAnsi="Times New Roman"/>
          <w:szCs w:val="24"/>
        </w:rPr>
        <w:t xml:space="preserve">: </w:t>
      </w:r>
      <w:r w:rsidRPr="00E264B5">
        <w:rPr>
          <w:rFonts w:ascii="Times New Roman" w:hAnsi="Times New Roman"/>
          <w:i/>
          <w:szCs w:val="24"/>
        </w:rPr>
        <w:t>Frecuentes</w:t>
      </w:r>
      <w:r w:rsidRPr="005429A9">
        <w:rPr>
          <w:rFonts w:ascii="Times New Roman" w:hAnsi="Times New Roman"/>
          <w:szCs w:val="24"/>
        </w:rPr>
        <w:t xml:space="preserve">: se han observado en </w:t>
      </w:r>
      <w:proofErr w:type="gramStart"/>
      <w:r w:rsidRPr="005429A9">
        <w:rPr>
          <w:rFonts w:ascii="Times New Roman" w:hAnsi="Times New Roman"/>
          <w:szCs w:val="24"/>
        </w:rPr>
        <w:t>algunos</w:t>
      </w:r>
      <w:proofErr w:type="gramEnd"/>
      <w:r w:rsidRPr="005429A9">
        <w:rPr>
          <w:rFonts w:ascii="Times New Roman" w:hAnsi="Times New Roman"/>
          <w:szCs w:val="24"/>
        </w:rPr>
        <w:t xml:space="preserve"> pacientes elevaciones moderadas del nivel de las transaminasas</w:t>
      </w:r>
      <w:r>
        <w:rPr>
          <w:rFonts w:ascii="Times New Roman" w:hAnsi="Times New Roman"/>
          <w:szCs w:val="24"/>
        </w:rPr>
        <w:t xml:space="preserve"> </w:t>
      </w:r>
      <w:r w:rsidRPr="005429A9">
        <w:rPr>
          <w:rFonts w:ascii="Times New Roman" w:hAnsi="Times New Roman"/>
          <w:szCs w:val="24"/>
        </w:rPr>
        <w:t>séricas.</w:t>
      </w:r>
      <w:r>
        <w:rPr>
          <w:rFonts w:ascii="Times New Roman" w:hAnsi="Times New Roman"/>
          <w:szCs w:val="24"/>
        </w:rPr>
        <w:t xml:space="preserve"> </w:t>
      </w:r>
      <w:r w:rsidRPr="00E264B5">
        <w:rPr>
          <w:rFonts w:ascii="Times New Roman" w:hAnsi="Times New Roman"/>
          <w:i/>
          <w:szCs w:val="24"/>
        </w:rPr>
        <w:t>Poco frecuentes</w:t>
      </w:r>
      <w:r w:rsidRPr="005429A9">
        <w:rPr>
          <w:rFonts w:ascii="Times New Roman" w:hAnsi="Times New Roman"/>
          <w:szCs w:val="24"/>
        </w:rPr>
        <w:t>: desarrollo de cálculos biliares.</w:t>
      </w:r>
      <w:r>
        <w:rPr>
          <w:rFonts w:ascii="Times New Roman" w:hAnsi="Times New Roman"/>
          <w:szCs w:val="24"/>
        </w:rPr>
        <w:t xml:space="preserve"> </w:t>
      </w:r>
      <w:r w:rsidRPr="00E264B5">
        <w:rPr>
          <w:rFonts w:ascii="Times New Roman" w:hAnsi="Times New Roman"/>
          <w:i/>
          <w:szCs w:val="24"/>
        </w:rPr>
        <w:t>Muy raros</w:t>
      </w:r>
      <w:r w:rsidRPr="005429A9">
        <w:rPr>
          <w:rFonts w:ascii="Times New Roman" w:hAnsi="Times New Roman"/>
          <w:szCs w:val="24"/>
        </w:rPr>
        <w:t>: episodios de hepatitis. En caso de aparición de síntomas indicativos de hepatitis (tales como</w:t>
      </w:r>
      <w:r>
        <w:rPr>
          <w:rFonts w:ascii="Times New Roman" w:hAnsi="Times New Roman"/>
          <w:szCs w:val="24"/>
        </w:rPr>
        <w:t xml:space="preserve"> </w:t>
      </w:r>
      <w:r w:rsidRPr="005429A9">
        <w:rPr>
          <w:rFonts w:ascii="Times New Roman" w:hAnsi="Times New Roman"/>
          <w:szCs w:val="24"/>
        </w:rPr>
        <w:t>ictericia, prurito) se deben realizar controles de los parámetros hepáticos para su verificación y se</w:t>
      </w:r>
      <w:r>
        <w:rPr>
          <w:rFonts w:ascii="Times New Roman" w:hAnsi="Times New Roman"/>
          <w:szCs w:val="24"/>
        </w:rPr>
        <w:t xml:space="preserve"> </w:t>
      </w:r>
      <w:r w:rsidRPr="005429A9">
        <w:rPr>
          <w:rFonts w:ascii="Times New Roman" w:hAnsi="Times New Roman"/>
          <w:szCs w:val="24"/>
        </w:rPr>
        <w:t xml:space="preserve">suspenderá el tratamiento con </w:t>
      </w:r>
      <w:proofErr w:type="spellStart"/>
      <w:r w:rsidRPr="005429A9">
        <w:rPr>
          <w:rFonts w:ascii="Times New Roman" w:hAnsi="Times New Roman"/>
          <w:szCs w:val="24"/>
        </w:rPr>
        <w:t>fenofibrato</w:t>
      </w:r>
      <w:proofErr w:type="spellEnd"/>
      <w:r w:rsidRPr="005429A9">
        <w:rPr>
          <w:rFonts w:ascii="Times New Roman" w:hAnsi="Times New Roman"/>
          <w:szCs w:val="24"/>
        </w:rPr>
        <w:t xml:space="preserve"> si fuese necesario.</w:t>
      </w:r>
    </w:p>
    <w:p w:rsidR="002870F3" w:rsidRPr="005429A9" w:rsidRDefault="002870F3" w:rsidP="002870F3">
      <w:pPr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  <w:szCs w:val="24"/>
        </w:rPr>
      </w:pPr>
      <w:bookmarkStart w:id="0" w:name="_GoBack"/>
      <w:bookmarkEnd w:id="0"/>
      <w:r w:rsidRPr="00E264B5">
        <w:rPr>
          <w:rFonts w:ascii="Times New Roman" w:hAnsi="Times New Roman"/>
          <w:szCs w:val="24"/>
          <w:u w:val="single"/>
        </w:rPr>
        <w:lastRenderedPageBreak/>
        <w:t>Trastornos del tejido de la piel y subcutáneos</w:t>
      </w:r>
      <w:r>
        <w:rPr>
          <w:rFonts w:ascii="Times New Roman" w:hAnsi="Times New Roman"/>
          <w:szCs w:val="24"/>
        </w:rPr>
        <w:t xml:space="preserve">: </w:t>
      </w:r>
      <w:r w:rsidRPr="00E264B5">
        <w:rPr>
          <w:rFonts w:ascii="Times New Roman" w:hAnsi="Times New Roman"/>
          <w:i/>
          <w:szCs w:val="24"/>
        </w:rPr>
        <w:t>Poco frecuentes</w:t>
      </w:r>
      <w:r w:rsidRPr="005429A9">
        <w:rPr>
          <w:rFonts w:ascii="Times New Roman" w:hAnsi="Times New Roman"/>
          <w:szCs w:val="24"/>
        </w:rPr>
        <w:t xml:space="preserve">: </w:t>
      </w:r>
      <w:proofErr w:type="spellStart"/>
      <w:r w:rsidRPr="005429A9">
        <w:rPr>
          <w:rFonts w:ascii="Times New Roman" w:hAnsi="Times New Roman"/>
          <w:szCs w:val="24"/>
        </w:rPr>
        <w:t>rash</w:t>
      </w:r>
      <w:proofErr w:type="spellEnd"/>
      <w:r w:rsidRPr="005429A9">
        <w:rPr>
          <w:rFonts w:ascii="Times New Roman" w:hAnsi="Times New Roman"/>
          <w:szCs w:val="24"/>
        </w:rPr>
        <w:t xml:space="preserve">, prurito, urticaria o reacciones de </w:t>
      </w:r>
      <w:proofErr w:type="spellStart"/>
      <w:r w:rsidRPr="005429A9">
        <w:rPr>
          <w:rFonts w:ascii="Times New Roman" w:hAnsi="Times New Roman"/>
          <w:szCs w:val="24"/>
        </w:rPr>
        <w:t>fotosensibilidad</w:t>
      </w:r>
      <w:proofErr w:type="spellEnd"/>
      <w:r w:rsidRPr="005429A9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Pr="00E264B5">
        <w:rPr>
          <w:rFonts w:ascii="Times New Roman" w:hAnsi="Times New Roman"/>
          <w:i/>
          <w:szCs w:val="24"/>
        </w:rPr>
        <w:t>Raros</w:t>
      </w:r>
      <w:r w:rsidRPr="005429A9">
        <w:rPr>
          <w:rFonts w:ascii="Times New Roman" w:hAnsi="Times New Roman"/>
          <w:szCs w:val="24"/>
        </w:rPr>
        <w:t>: alopecia.</w:t>
      </w:r>
      <w:r>
        <w:rPr>
          <w:rFonts w:ascii="Times New Roman" w:hAnsi="Times New Roman"/>
          <w:szCs w:val="24"/>
        </w:rPr>
        <w:t xml:space="preserve"> </w:t>
      </w:r>
      <w:r w:rsidRPr="00E264B5">
        <w:rPr>
          <w:rFonts w:ascii="Times New Roman" w:hAnsi="Times New Roman"/>
          <w:i/>
          <w:szCs w:val="24"/>
        </w:rPr>
        <w:t>Muy raros:</w:t>
      </w:r>
      <w:r w:rsidRPr="005429A9">
        <w:rPr>
          <w:rFonts w:ascii="Times New Roman" w:hAnsi="Times New Roman"/>
          <w:szCs w:val="24"/>
        </w:rPr>
        <w:t xml:space="preserve"> </w:t>
      </w:r>
      <w:proofErr w:type="spellStart"/>
      <w:r w:rsidRPr="005429A9">
        <w:rPr>
          <w:rFonts w:ascii="Times New Roman" w:hAnsi="Times New Roman"/>
          <w:szCs w:val="24"/>
        </w:rPr>
        <w:t>fotosensibilidad</w:t>
      </w:r>
      <w:proofErr w:type="spellEnd"/>
      <w:r w:rsidRPr="005429A9">
        <w:rPr>
          <w:rFonts w:ascii="Times New Roman" w:hAnsi="Times New Roman"/>
          <w:szCs w:val="24"/>
        </w:rPr>
        <w:t xml:space="preserve"> cutánea con eritema, </w:t>
      </w:r>
      <w:proofErr w:type="spellStart"/>
      <w:r w:rsidRPr="005429A9">
        <w:rPr>
          <w:rFonts w:ascii="Times New Roman" w:hAnsi="Times New Roman"/>
          <w:szCs w:val="24"/>
        </w:rPr>
        <w:t>vesiculación</w:t>
      </w:r>
      <w:proofErr w:type="spellEnd"/>
      <w:r w:rsidRPr="005429A9">
        <w:rPr>
          <w:rFonts w:ascii="Times New Roman" w:hAnsi="Times New Roman"/>
          <w:szCs w:val="24"/>
        </w:rPr>
        <w:t xml:space="preserve"> o </w:t>
      </w:r>
      <w:proofErr w:type="spellStart"/>
      <w:r w:rsidRPr="005429A9">
        <w:rPr>
          <w:rFonts w:ascii="Times New Roman" w:hAnsi="Times New Roman"/>
          <w:szCs w:val="24"/>
        </w:rPr>
        <w:t>nodulación</w:t>
      </w:r>
      <w:proofErr w:type="spellEnd"/>
      <w:r w:rsidRPr="005429A9">
        <w:rPr>
          <w:rFonts w:ascii="Times New Roman" w:hAnsi="Times New Roman"/>
          <w:szCs w:val="24"/>
        </w:rPr>
        <w:t xml:space="preserve"> de las partes de la piel</w:t>
      </w:r>
      <w:r>
        <w:rPr>
          <w:rFonts w:ascii="Times New Roman" w:hAnsi="Times New Roman"/>
          <w:szCs w:val="24"/>
        </w:rPr>
        <w:t xml:space="preserve"> </w:t>
      </w:r>
      <w:r w:rsidRPr="005429A9">
        <w:rPr>
          <w:rFonts w:ascii="Times New Roman" w:hAnsi="Times New Roman"/>
          <w:szCs w:val="24"/>
        </w:rPr>
        <w:t>expuestas a los rayos solares o a la luz UV artificial (</w:t>
      </w:r>
      <w:r>
        <w:rPr>
          <w:rFonts w:ascii="Times New Roman" w:hAnsi="Times New Roman"/>
          <w:szCs w:val="24"/>
        </w:rPr>
        <w:t>ej.</w:t>
      </w:r>
      <w:r w:rsidRPr="005429A9">
        <w:rPr>
          <w:rFonts w:ascii="Times New Roman" w:hAnsi="Times New Roman"/>
          <w:szCs w:val="24"/>
        </w:rPr>
        <w:t xml:space="preserve"> lámparas solares) en ciertos casos individuales</w:t>
      </w:r>
      <w:r>
        <w:rPr>
          <w:rFonts w:ascii="Times New Roman" w:hAnsi="Times New Roman"/>
          <w:szCs w:val="24"/>
        </w:rPr>
        <w:t xml:space="preserve"> </w:t>
      </w:r>
      <w:r w:rsidRPr="005429A9">
        <w:rPr>
          <w:rFonts w:ascii="Times New Roman" w:hAnsi="Times New Roman"/>
          <w:szCs w:val="24"/>
        </w:rPr>
        <w:t>(incluso después de varios meses de tratamiento sin complicaciones).</w:t>
      </w:r>
    </w:p>
    <w:p w:rsidR="002870F3" w:rsidRPr="005429A9" w:rsidRDefault="002870F3" w:rsidP="002870F3">
      <w:pPr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  <w:szCs w:val="24"/>
        </w:rPr>
      </w:pPr>
      <w:r w:rsidRPr="00E264B5">
        <w:rPr>
          <w:rFonts w:ascii="Times New Roman" w:hAnsi="Times New Roman"/>
          <w:szCs w:val="24"/>
          <w:u w:val="single"/>
        </w:rPr>
        <w:t xml:space="preserve">Trastornos </w:t>
      </w:r>
      <w:proofErr w:type="spellStart"/>
      <w:r w:rsidRPr="00E264B5">
        <w:rPr>
          <w:rFonts w:ascii="Times New Roman" w:hAnsi="Times New Roman"/>
          <w:szCs w:val="24"/>
          <w:u w:val="single"/>
        </w:rPr>
        <w:t>musculoesqueléticos</w:t>
      </w:r>
      <w:proofErr w:type="spellEnd"/>
      <w:r w:rsidRPr="00E264B5">
        <w:rPr>
          <w:rFonts w:ascii="Times New Roman" w:hAnsi="Times New Roman"/>
          <w:szCs w:val="24"/>
          <w:u w:val="single"/>
        </w:rPr>
        <w:t xml:space="preserve"> y de tejido conectivo</w:t>
      </w:r>
      <w:r w:rsidRPr="00E264B5">
        <w:rPr>
          <w:rFonts w:ascii="Times New Roman" w:hAnsi="Times New Roman"/>
          <w:szCs w:val="24"/>
        </w:rPr>
        <w:t>:</w:t>
      </w:r>
      <w:r w:rsidRPr="007432F7">
        <w:rPr>
          <w:rFonts w:ascii="Times New Roman" w:hAnsi="Times New Roman"/>
          <w:szCs w:val="24"/>
        </w:rPr>
        <w:t xml:space="preserve"> </w:t>
      </w:r>
      <w:r w:rsidRPr="00E264B5">
        <w:rPr>
          <w:rFonts w:ascii="Times New Roman" w:hAnsi="Times New Roman"/>
          <w:i/>
          <w:szCs w:val="24"/>
        </w:rPr>
        <w:t>Raros</w:t>
      </w:r>
      <w:r w:rsidRPr="005429A9">
        <w:rPr>
          <w:rFonts w:ascii="Times New Roman" w:hAnsi="Times New Roman"/>
          <w:szCs w:val="24"/>
        </w:rPr>
        <w:t xml:space="preserve">: mialgia difusa, </w:t>
      </w:r>
      <w:proofErr w:type="spellStart"/>
      <w:r w:rsidRPr="005429A9">
        <w:rPr>
          <w:rFonts w:ascii="Times New Roman" w:hAnsi="Times New Roman"/>
          <w:szCs w:val="24"/>
        </w:rPr>
        <w:t>miositis</w:t>
      </w:r>
      <w:proofErr w:type="spellEnd"/>
      <w:r w:rsidRPr="005429A9">
        <w:rPr>
          <w:rFonts w:ascii="Times New Roman" w:hAnsi="Times New Roman"/>
          <w:szCs w:val="24"/>
        </w:rPr>
        <w:t>, calambres musculares y debilidad muscular.</w:t>
      </w:r>
      <w:r>
        <w:rPr>
          <w:rFonts w:ascii="Times New Roman" w:hAnsi="Times New Roman"/>
          <w:szCs w:val="24"/>
        </w:rPr>
        <w:t xml:space="preserve"> </w:t>
      </w:r>
      <w:r w:rsidRPr="00E264B5">
        <w:rPr>
          <w:rFonts w:ascii="Times New Roman" w:hAnsi="Times New Roman"/>
          <w:i/>
          <w:szCs w:val="24"/>
        </w:rPr>
        <w:t>Muy raros</w:t>
      </w:r>
      <w:r w:rsidRPr="005429A9">
        <w:rPr>
          <w:rFonts w:ascii="Times New Roman" w:hAnsi="Times New Roman"/>
          <w:szCs w:val="24"/>
        </w:rPr>
        <w:t xml:space="preserve">: </w:t>
      </w:r>
      <w:proofErr w:type="spellStart"/>
      <w:r w:rsidRPr="005429A9">
        <w:rPr>
          <w:rFonts w:ascii="Times New Roman" w:hAnsi="Times New Roman"/>
          <w:szCs w:val="24"/>
        </w:rPr>
        <w:t>rabdomiólisis</w:t>
      </w:r>
      <w:proofErr w:type="spellEnd"/>
      <w:r w:rsidRPr="005429A9">
        <w:rPr>
          <w:rFonts w:ascii="Times New Roman" w:hAnsi="Times New Roman"/>
          <w:szCs w:val="24"/>
        </w:rPr>
        <w:t>.</w:t>
      </w:r>
    </w:p>
    <w:p w:rsidR="002870F3" w:rsidRPr="005429A9" w:rsidRDefault="002870F3" w:rsidP="002870F3">
      <w:pPr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  <w:szCs w:val="24"/>
        </w:rPr>
      </w:pPr>
      <w:r w:rsidRPr="00E264B5">
        <w:rPr>
          <w:rFonts w:ascii="Times New Roman" w:hAnsi="Times New Roman"/>
          <w:szCs w:val="24"/>
          <w:u w:val="single"/>
        </w:rPr>
        <w:t>Exploraciones complementarias</w:t>
      </w:r>
      <w:r>
        <w:rPr>
          <w:rFonts w:ascii="Times New Roman" w:hAnsi="Times New Roman"/>
          <w:szCs w:val="24"/>
        </w:rPr>
        <w:t xml:space="preserve">: </w:t>
      </w:r>
      <w:r w:rsidRPr="00E264B5">
        <w:rPr>
          <w:rFonts w:ascii="Times New Roman" w:hAnsi="Times New Roman"/>
          <w:i/>
          <w:szCs w:val="24"/>
        </w:rPr>
        <w:t>Poco frecuente:</w:t>
      </w:r>
      <w:r w:rsidRPr="005429A9">
        <w:rPr>
          <w:rFonts w:ascii="Times New Roman" w:hAnsi="Times New Roman"/>
          <w:szCs w:val="24"/>
        </w:rPr>
        <w:t xml:space="preserve"> aumento de creatinina y urea</w:t>
      </w:r>
      <w:r>
        <w:rPr>
          <w:rFonts w:ascii="Times New Roman" w:hAnsi="Times New Roman"/>
          <w:szCs w:val="24"/>
        </w:rPr>
        <w:t>.</w:t>
      </w:r>
    </w:p>
    <w:p w:rsidR="002870F3" w:rsidRPr="00890B91" w:rsidRDefault="002870F3" w:rsidP="002870F3">
      <w:pPr>
        <w:spacing w:line="240" w:lineRule="atLeast"/>
        <w:jc w:val="both"/>
        <w:rPr>
          <w:rFonts w:ascii="Times New Roman" w:hAnsi="Times New Roman"/>
          <w:b/>
          <w:szCs w:val="24"/>
        </w:rPr>
      </w:pPr>
    </w:p>
    <w:p w:rsidR="002870F3" w:rsidRPr="00890B91" w:rsidRDefault="002870F3" w:rsidP="002870F3">
      <w:pPr>
        <w:spacing w:line="240" w:lineRule="atLeast"/>
        <w:jc w:val="both"/>
        <w:rPr>
          <w:rFonts w:ascii="Times New Roman" w:hAnsi="Times New Roman"/>
          <w:b/>
          <w:szCs w:val="24"/>
        </w:rPr>
      </w:pPr>
    </w:p>
    <w:p w:rsidR="002870F3" w:rsidRPr="00890B91" w:rsidRDefault="002870F3" w:rsidP="002870F3">
      <w:pPr>
        <w:spacing w:line="240" w:lineRule="atLeast"/>
        <w:jc w:val="both"/>
        <w:rPr>
          <w:rFonts w:ascii="Times New Roman" w:hAnsi="Times New Roman"/>
          <w:b/>
          <w:szCs w:val="24"/>
          <w:lang w:val="es-CL"/>
        </w:rPr>
      </w:pPr>
      <w:r w:rsidRPr="00890B91">
        <w:rPr>
          <w:rFonts w:ascii="Times New Roman" w:hAnsi="Times New Roman"/>
          <w:b/>
          <w:szCs w:val="24"/>
          <w:lang w:val="es-CL"/>
        </w:rPr>
        <w:t>INTERACCIONES</w:t>
      </w:r>
    </w:p>
    <w:p w:rsidR="002870F3" w:rsidRPr="005429A9" w:rsidRDefault="002870F3" w:rsidP="002870F3">
      <w:pPr>
        <w:spacing w:line="240" w:lineRule="atLeast"/>
        <w:jc w:val="both"/>
        <w:rPr>
          <w:rFonts w:ascii="Times New Roman" w:hAnsi="Times New Roman"/>
          <w:szCs w:val="24"/>
          <w:lang w:val="es-CL"/>
        </w:rPr>
      </w:pPr>
      <w:r w:rsidRPr="00E264B5">
        <w:rPr>
          <w:rFonts w:ascii="Times New Roman" w:hAnsi="Times New Roman"/>
          <w:szCs w:val="24"/>
          <w:u w:val="single"/>
          <w:lang w:val="es-CL"/>
        </w:rPr>
        <w:t>Anticoagulantes orales</w:t>
      </w:r>
      <w:r w:rsidRPr="00E264B5">
        <w:rPr>
          <w:rFonts w:ascii="Times New Roman" w:hAnsi="Times New Roman"/>
          <w:szCs w:val="24"/>
          <w:lang w:val="es-CL"/>
        </w:rPr>
        <w:t>: El</w:t>
      </w:r>
      <w:r w:rsidRPr="005429A9">
        <w:rPr>
          <w:rFonts w:ascii="Times New Roman" w:hAnsi="Times New Roman"/>
          <w:szCs w:val="24"/>
          <w:lang w:val="es-CL"/>
        </w:rPr>
        <w:t xml:space="preserve"> </w:t>
      </w:r>
      <w:proofErr w:type="spellStart"/>
      <w:r w:rsidRPr="005429A9">
        <w:rPr>
          <w:rFonts w:ascii="Times New Roman" w:hAnsi="Times New Roman"/>
          <w:szCs w:val="24"/>
          <w:lang w:val="es-CL"/>
        </w:rPr>
        <w:t>fenofibrato</w:t>
      </w:r>
      <w:proofErr w:type="spellEnd"/>
      <w:r w:rsidRPr="005429A9">
        <w:rPr>
          <w:rFonts w:ascii="Times New Roman" w:hAnsi="Times New Roman"/>
          <w:szCs w:val="24"/>
          <w:lang w:val="es-CL"/>
        </w:rPr>
        <w:t xml:space="preserve"> potencia el efecto de los anticoagulantes orales y puede incrementar el riesgo de hemorragia.</w:t>
      </w:r>
    </w:p>
    <w:p w:rsidR="002870F3" w:rsidRPr="005429A9" w:rsidRDefault="002870F3" w:rsidP="002870F3">
      <w:pPr>
        <w:spacing w:line="240" w:lineRule="atLeast"/>
        <w:jc w:val="both"/>
        <w:rPr>
          <w:rFonts w:ascii="Times New Roman" w:hAnsi="Times New Roman"/>
          <w:szCs w:val="24"/>
          <w:lang w:val="es-CL"/>
        </w:rPr>
      </w:pPr>
      <w:r w:rsidRPr="005429A9">
        <w:rPr>
          <w:rFonts w:ascii="Times New Roman" w:hAnsi="Times New Roman"/>
          <w:szCs w:val="24"/>
          <w:lang w:val="es-CL"/>
        </w:rPr>
        <w:t xml:space="preserve">Se recomienda reducir en un tercio la dosis de los anticoagulantes al iniciar el tratamiento con </w:t>
      </w:r>
      <w:proofErr w:type="spellStart"/>
      <w:r w:rsidRPr="005429A9">
        <w:rPr>
          <w:rFonts w:ascii="Times New Roman" w:hAnsi="Times New Roman"/>
          <w:szCs w:val="24"/>
          <w:lang w:val="es-CL"/>
        </w:rPr>
        <w:t>fenofibrato</w:t>
      </w:r>
      <w:proofErr w:type="spellEnd"/>
      <w:r w:rsidRPr="005429A9">
        <w:rPr>
          <w:rFonts w:ascii="Times New Roman" w:hAnsi="Times New Roman"/>
          <w:szCs w:val="24"/>
          <w:lang w:val="es-CL"/>
        </w:rPr>
        <w:t xml:space="preserve"> e</w:t>
      </w:r>
      <w:r>
        <w:rPr>
          <w:rFonts w:ascii="Times New Roman" w:hAnsi="Times New Roman"/>
          <w:szCs w:val="24"/>
          <w:lang w:val="es-CL"/>
        </w:rPr>
        <w:t xml:space="preserve"> </w:t>
      </w:r>
      <w:r w:rsidRPr="005429A9">
        <w:rPr>
          <w:rFonts w:ascii="Times New Roman" w:hAnsi="Times New Roman"/>
          <w:szCs w:val="24"/>
          <w:lang w:val="es-CL"/>
        </w:rPr>
        <w:t>ir ajustando gradualmente la dosis, si fuese necesario, en función de los controles INR (Internacional</w:t>
      </w:r>
      <w:r>
        <w:rPr>
          <w:rFonts w:ascii="Times New Roman" w:hAnsi="Times New Roman"/>
          <w:szCs w:val="24"/>
          <w:lang w:val="es-CL"/>
        </w:rPr>
        <w:t xml:space="preserve"> </w:t>
      </w:r>
      <w:proofErr w:type="spellStart"/>
      <w:r w:rsidRPr="005429A9">
        <w:rPr>
          <w:rFonts w:ascii="Times New Roman" w:hAnsi="Times New Roman"/>
          <w:szCs w:val="24"/>
          <w:lang w:val="es-CL"/>
        </w:rPr>
        <w:t>Normalised</w:t>
      </w:r>
      <w:proofErr w:type="spellEnd"/>
      <w:r w:rsidRPr="005429A9">
        <w:rPr>
          <w:rFonts w:ascii="Times New Roman" w:hAnsi="Times New Roman"/>
          <w:szCs w:val="24"/>
          <w:lang w:val="es-CL"/>
        </w:rPr>
        <w:t xml:space="preserve"> Ratio). Por lo tanto, no se recomienda esta combinación.</w:t>
      </w:r>
    </w:p>
    <w:p w:rsidR="002870F3" w:rsidRDefault="002870F3" w:rsidP="002870F3">
      <w:pPr>
        <w:spacing w:line="240" w:lineRule="atLeast"/>
        <w:jc w:val="both"/>
        <w:rPr>
          <w:rFonts w:ascii="Times New Roman" w:hAnsi="Times New Roman"/>
          <w:szCs w:val="24"/>
          <w:u w:val="single"/>
          <w:lang w:val="es-CL"/>
        </w:rPr>
      </w:pPr>
    </w:p>
    <w:p w:rsidR="002870F3" w:rsidRDefault="002870F3" w:rsidP="002870F3">
      <w:pPr>
        <w:spacing w:line="240" w:lineRule="atLeast"/>
        <w:jc w:val="both"/>
        <w:rPr>
          <w:rFonts w:ascii="Times New Roman" w:hAnsi="Times New Roman"/>
          <w:szCs w:val="24"/>
          <w:lang w:val="es-CL"/>
        </w:rPr>
      </w:pPr>
      <w:r w:rsidRPr="00E264B5">
        <w:rPr>
          <w:rFonts w:ascii="Times New Roman" w:hAnsi="Times New Roman"/>
          <w:szCs w:val="24"/>
          <w:u w:val="single"/>
          <w:lang w:val="es-CL"/>
        </w:rPr>
        <w:t>Ciclosporina</w:t>
      </w:r>
      <w:r>
        <w:rPr>
          <w:rFonts w:ascii="Times New Roman" w:hAnsi="Times New Roman"/>
          <w:szCs w:val="24"/>
          <w:lang w:val="es-CL"/>
        </w:rPr>
        <w:t xml:space="preserve">: </w:t>
      </w:r>
      <w:r w:rsidRPr="005429A9">
        <w:rPr>
          <w:rFonts w:ascii="Times New Roman" w:hAnsi="Times New Roman"/>
          <w:szCs w:val="24"/>
          <w:lang w:val="es-CL"/>
        </w:rPr>
        <w:t>Se han observado algunos casos graves de deterioro de la función renal, aunque reversibles, durante el</w:t>
      </w:r>
      <w:r>
        <w:rPr>
          <w:rFonts w:ascii="Times New Roman" w:hAnsi="Times New Roman"/>
          <w:szCs w:val="24"/>
          <w:lang w:val="es-CL"/>
        </w:rPr>
        <w:t xml:space="preserve"> </w:t>
      </w:r>
      <w:r w:rsidRPr="005429A9">
        <w:rPr>
          <w:rFonts w:ascii="Times New Roman" w:hAnsi="Times New Roman"/>
          <w:szCs w:val="24"/>
          <w:lang w:val="es-CL"/>
        </w:rPr>
        <w:t xml:space="preserve">tratamiento concomitante de </w:t>
      </w:r>
      <w:proofErr w:type="spellStart"/>
      <w:r w:rsidRPr="005429A9">
        <w:rPr>
          <w:rFonts w:ascii="Times New Roman" w:hAnsi="Times New Roman"/>
          <w:szCs w:val="24"/>
          <w:lang w:val="es-CL"/>
        </w:rPr>
        <w:t>fenofifrato</w:t>
      </w:r>
      <w:proofErr w:type="spellEnd"/>
      <w:r w:rsidRPr="005429A9">
        <w:rPr>
          <w:rFonts w:ascii="Times New Roman" w:hAnsi="Times New Roman"/>
          <w:szCs w:val="24"/>
          <w:lang w:val="es-CL"/>
        </w:rPr>
        <w:t xml:space="preserve"> y ciclosporina. Se controlará pues con especial atención la función</w:t>
      </w:r>
      <w:r>
        <w:rPr>
          <w:rFonts w:ascii="Times New Roman" w:hAnsi="Times New Roman"/>
          <w:szCs w:val="24"/>
          <w:lang w:val="es-CL"/>
        </w:rPr>
        <w:t xml:space="preserve"> </w:t>
      </w:r>
      <w:r w:rsidRPr="005429A9">
        <w:rPr>
          <w:rFonts w:ascii="Times New Roman" w:hAnsi="Times New Roman"/>
          <w:szCs w:val="24"/>
          <w:lang w:val="es-CL"/>
        </w:rPr>
        <w:t xml:space="preserve">renal de estos pacientes y se suspenderá el tratamiento con </w:t>
      </w:r>
      <w:proofErr w:type="spellStart"/>
      <w:r w:rsidRPr="005429A9">
        <w:rPr>
          <w:rFonts w:ascii="Times New Roman" w:hAnsi="Times New Roman"/>
          <w:szCs w:val="24"/>
          <w:lang w:val="es-CL"/>
        </w:rPr>
        <w:t>fenofibrato</w:t>
      </w:r>
      <w:proofErr w:type="spellEnd"/>
      <w:r w:rsidRPr="005429A9">
        <w:rPr>
          <w:rFonts w:ascii="Times New Roman" w:hAnsi="Times New Roman"/>
          <w:szCs w:val="24"/>
          <w:lang w:val="es-CL"/>
        </w:rPr>
        <w:t xml:space="preserve"> en caso de grave alteración de los</w:t>
      </w:r>
      <w:r>
        <w:rPr>
          <w:rFonts w:ascii="Times New Roman" w:hAnsi="Times New Roman"/>
          <w:szCs w:val="24"/>
          <w:lang w:val="es-CL"/>
        </w:rPr>
        <w:t xml:space="preserve"> </w:t>
      </w:r>
      <w:r w:rsidRPr="005429A9">
        <w:rPr>
          <w:rFonts w:ascii="Times New Roman" w:hAnsi="Times New Roman"/>
          <w:szCs w:val="24"/>
          <w:lang w:val="es-CL"/>
        </w:rPr>
        <w:t>parámetros biológicos.</w:t>
      </w:r>
    </w:p>
    <w:p w:rsidR="002870F3" w:rsidRPr="005429A9" w:rsidRDefault="002870F3" w:rsidP="002870F3">
      <w:pPr>
        <w:spacing w:line="240" w:lineRule="atLeast"/>
        <w:jc w:val="both"/>
        <w:rPr>
          <w:rFonts w:ascii="Times New Roman" w:hAnsi="Times New Roman"/>
          <w:szCs w:val="24"/>
          <w:lang w:val="es-CL"/>
        </w:rPr>
      </w:pPr>
    </w:p>
    <w:p w:rsidR="002870F3" w:rsidRDefault="002870F3" w:rsidP="002870F3">
      <w:pPr>
        <w:spacing w:line="240" w:lineRule="atLeast"/>
        <w:jc w:val="both"/>
        <w:rPr>
          <w:rFonts w:ascii="Times New Roman" w:hAnsi="Times New Roman"/>
          <w:szCs w:val="24"/>
          <w:lang w:val="es-CL"/>
        </w:rPr>
      </w:pPr>
      <w:r w:rsidRPr="00E264B5">
        <w:rPr>
          <w:rFonts w:ascii="Times New Roman" w:hAnsi="Times New Roman"/>
          <w:szCs w:val="24"/>
          <w:u w:val="single"/>
          <w:lang w:val="es-CL"/>
        </w:rPr>
        <w:t>Inhibidores de la HMG-</w:t>
      </w:r>
      <w:proofErr w:type="spellStart"/>
      <w:r w:rsidRPr="00E264B5">
        <w:rPr>
          <w:rFonts w:ascii="Times New Roman" w:hAnsi="Times New Roman"/>
          <w:szCs w:val="24"/>
          <w:u w:val="single"/>
          <w:lang w:val="es-CL"/>
        </w:rPr>
        <w:t>CoA</w:t>
      </w:r>
      <w:proofErr w:type="spellEnd"/>
      <w:r w:rsidRPr="00E264B5">
        <w:rPr>
          <w:rFonts w:ascii="Times New Roman" w:hAnsi="Times New Roman"/>
          <w:szCs w:val="24"/>
          <w:u w:val="single"/>
          <w:lang w:val="es-CL"/>
        </w:rPr>
        <w:t xml:space="preserve"> </w:t>
      </w:r>
      <w:proofErr w:type="spellStart"/>
      <w:r w:rsidRPr="00E264B5">
        <w:rPr>
          <w:rFonts w:ascii="Times New Roman" w:hAnsi="Times New Roman"/>
          <w:szCs w:val="24"/>
          <w:u w:val="single"/>
          <w:lang w:val="es-CL"/>
        </w:rPr>
        <w:t>reductasa</w:t>
      </w:r>
      <w:proofErr w:type="spellEnd"/>
      <w:r w:rsidRPr="00E264B5">
        <w:rPr>
          <w:rFonts w:ascii="Times New Roman" w:hAnsi="Times New Roman"/>
          <w:szCs w:val="24"/>
          <w:u w:val="single"/>
          <w:lang w:val="es-CL"/>
        </w:rPr>
        <w:t xml:space="preserve"> y otros </w:t>
      </w:r>
      <w:proofErr w:type="spellStart"/>
      <w:r w:rsidRPr="00E264B5">
        <w:rPr>
          <w:rFonts w:ascii="Times New Roman" w:hAnsi="Times New Roman"/>
          <w:szCs w:val="24"/>
          <w:u w:val="single"/>
          <w:lang w:val="es-CL"/>
        </w:rPr>
        <w:t>fibratos</w:t>
      </w:r>
      <w:proofErr w:type="spellEnd"/>
      <w:r>
        <w:rPr>
          <w:rFonts w:ascii="Times New Roman" w:hAnsi="Times New Roman"/>
          <w:szCs w:val="24"/>
          <w:u w:val="single"/>
          <w:lang w:val="es-CL"/>
        </w:rPr>
        <w:t>:</w:t>
      </w:r>
      <w:r>
        <w:rPr>
          <w:rFonts w:ascii="Times New Roman" w:hAnsi="Times New Roman"/>
          <w:szCs w:val="24"/>
          <w:lang w:val="es-CL"/>
        </w:rPr>
        <w:t xml:space="preserve"> </w:t>
      </w:r>
      <w:r w:rsidRPr="005429A9">
        <w:rPr>
          <w:rFonts w:ascii="Times New Roman" w:hAnsi="Times New Roman"/>
          <w:szCs w:val="24"/>
          <w:lang w:val="es-CL"/>
        </w:rPr>
        <w:t xml:space="preserve">El riesgo de toxicidad muscular aumenta cuando el </w:t>
      </w:r>
      <w:proofErr w:type="spellStart"/>
      <w:r w:rsidRPr="005429A9">
        <w:rPr>
          <w:rFonts w:ascii="Times New Roman" w:hAnsi="Times New Roman"/>
          <w:szCs w:val="24"/>
          <w:lang w:val="es-CL"/>
        </w:rPr>
        <w:t>fenofibrato</w:t>
      </w:r>
      <w:proofErr w:type="spellEnd"/>
      <w:r w:rsidRPr="005429A9">
        <w:rPr>
          <w:rFonts w:ascii="Times New Roman" w:hAnsi="Times New Roman"/>
          <w:szCs w:val="24"/>
          <w:lang w:val="es-CL"/>
        </w:rPr>
        <w:t xml:space="preserve"> es utilizado en asociación con inhibidores</w:t>
      </w:r>
      <w:r>
        <w:rPr>
          <w:rFonts w:ascii="Times New Roman" w:hAnsi="Times New Roman"/>
          <w:szCs w:val="24"/>
          <w:lang w:val="es-CL"/>
        </w:rPr>
        <w:t xml:space="preserve"> </w:t>
      </w:r>
      <w:r w:rsidRPr="005429A9">
        <w:rPr>
          <w:rFonts w:ascii="Times New Roman" w:hAnsi="Times New Roman"/>
          <w:szCs w:val="24"/>
          <w:lang w:val="es-CL"/>
        </w:rPr>
        <w:t>de la HMG-</w:t>
      </w:r>
      <w:proofErr w:type="spellStart"/>
      <w:r w:rsidRPr="005429A9">
        <w:rPr>
          <w:rFonts w:ascii="Times New Roman" w:hAnsi="Times New Roman"/>
          <w:szCs w:val="24"/>
          <w:lang w:val="es-CL"/>
        </w:rPr>
        <w:t>CoA</w:t>
      </w:r>
      <w:proofErr w:type="spellEnd"/>
      <w:r w:rsidRPr="005429A9">
        <w:rPr>
          <w:rFonts w:ascii="Times New Roman" w:hAnsi="Times New Roman"/>
          <w:szCs w:val="24"/>
          <w:lang w:val="es-CL"/>
        </w:rPr>
        <w:t xml:space="preserve"> </w:t>
      </w:r>
      <w:proofErr w:type="spellStart"/>
      <w:r w:rsidRPr="005429A9">
        <w:rPr>
          <w:rFonts w:ascii="Times New Roman" w:hAnsi="Times New Roman"/>
          <w:szCs w:val="24"/>
          <w:lang w:val="es-CL"/>
        </w:rPr>
        <w:t>reductasa</w:t>
      </w:r>
      <w:proofErr w:type="spellEnd"/>
      <w:r w:rsidRPr="005429A9">
        <w:rPr>
          <w:rFonts w:ascii="Times New Roman" w:hAnsi="Times New Roman"/>
          <w:szCs w:val="24"/>
          <w:lang w:val="es-CL"/>
        </w:rPr>
        <w:t xml:space="preserve"> o con otros </w:t>
      </w:r>
      <w:proofErr w:type="spellStart"/>
      <w:r w:rsidRPr="005429A9">
        <w:rPr>
          <w:rFonts w:ascii="Times New Roman" w:hAnsi="Times New Roman"/>
          <w:szCs w:val="24"/>
          <w:lang w:val="es-CL"/>
        </w:rPr>
        <w:t>fibratos</w:t>
      </w:r>
      <w:proofErr w:type="spellEnd"/>
      <w:r w:rsidRPr="005429A9">
        <w:rPr>
          <w:rFonts w:ascii="Times New Roman" w:hAnsi="Times New Roman"/>
          <w:szCs w:val="24"/>
          <w:lang w:val="es-CL"/>
        </w:rPr>
        <w:t>. Esta asociación terapéutica debe utilizarse con precaución</w:t>
      </w:r>
      <w:r>
        <w:rPr>
          <w:rFonts w:ascii="Times New Roman" w:hAnsi="Times New Roman"/>
          <w:szCs w:val="24"/>
          <w:lang w:val="es-CL"/>
        </w:rPr>
        <w:t xml:space="preserve"> </w:t>
      </w:r>
      <w:r w:rsidRPr="005429A9">
        <w:rPr>
          <w:rFonts w:ascii="Times New Roman" w:hAnsi="Times New Roman"/>
          <w:szCs w:val="24"/>
          <w:lang w:val="es-CL"/>
        </w:rPr>
        <w:t>y se vigilará atentamente cualquier signo de toxicidad muscular.</w:t>
      </w:r>
    </w:p>
    <w:p w:rsidR="002870F3" w:rsidRDefault="002870F3" w:rsidP="002870F3">
      <w:pPr>
        <w:spacing w:line="240" w:lineRule="atLeast"/>
        <w:jc w:val="both"/>
        <w:rPr>
          <w:rFonts w:ascii="Times New Roman" w:hAnsi="Times New Roman"/>
          <w:szCs w:val="24"/>
          <w:lang w:val="es-CL"/>
        </w:rPr>
      </w:pPr>
    </w:p>
    <w:p w:rsidR="002870F3" w:rsidRPr="00E264B5" w:rsidRDefault="002870F3" w:rsidP="002870F3">
      <w:pPr>
        <w:spacing w:line="240" w:lineRule="atLeast"/>
        <w:jc w:val="both"/>
        <w:rPr>
          <w:rFonts w:ascii="Times New Roman" w:hAnsi="Times New Roman"/>
          <w:szCs w:val="24"/>
          <w:u w:val="single"/>
          <w:lang w:val="es-CL"/>
        </w:rPr>
      </w:pPr>
      <w:proofErr w:type="spellStart"/>
      <w:r w:rsidRPr="00E264B5">
        <w:rPr>
          <w:rFonts w:ascii="Times New Roman" w:hAnsi="Times New Roman"/>
          <w:szCs w:val="24"/>
          <w:u w:val="single"/>
          <w:lang w:val="es-CL"/>
        </w:rPr>
        <w:t>Glitazonas</w:t>
      </w:r>
      <w:proofErr w:type="spellEnd"/>
      <w:r w:rsidRPr="00E264B5">
        <w:rPr>
          <w:rFonts w:ascii="Times New Roman" w:hAnsi="Times New Roman"/>
          <w:szCs w:val="24"/>
          <w:u w:val="single"/>
          <w:lang w:val="es-CL"/>
        </w:rPr>
        <w:t>:</w:t>
      </w:r>
    </w:p>
    <w:p w:rsidR="002870F3" w:rsidRDefault="002870F3" w:rsidP="002870F3">
      <w:pPr>
        <w:spacing w:line="240" w:lineRule="atLeast"/>
        <w:jc w:val="both"/>
        <w:rPr>
          <w:rFonts w:ascii="Times New Roman" w:hAnsi="Times New Roman"/>
          <w:szCs w:val="24"/>
          <w:lang w:val="es-CL"/>
        </w:rPr>
      </w:pPr>
      <w:r w:rsidRPr="00B97AFF">
        <w:rPr>
          <w:rFonts w:ascii="Times New Roman" w:hAnsi="Times New Roman"/>
          <w:szCs w:val="24"/>
          <w:lang w:val="es-CL"/>
        </w:rPr>
        <w:t>Se han comunicado casos de reducción paradójica reversible de colesterol-HDL durante la</w:t>
      </w:r>
      <w:r>
        <w:rPr>
          <w:rFonts w:ascii="Times New Roman" w:hAnsi="Times New Roman"/>
          <w:szCs w:val="24"/>
          <w:lang w:val="es-CL"/>
        </w:rPr>
        <w:t xml:space="preserve"> </w:t>
      </w:r>
      <w:r w:rsidRPr="00B97AFF">
        <w:rPr>
          <w:rFonts w:ascii="Times New Roman" w:hAnsi="Times New Roman"/>
          <w:szCs w:val="24"/>
          <w:lang w:val="es-CL"/>
        </w:rPr>
        <w:t xml:space="preserve">administración concomitante de </w:t>
      </w:r>
      <w:proofErr w:type="spellStart"/>
      <w:r w:rsidRPr="00B97AFF">
        <w:rPr>
          <w:rFonts w:ascii="Times New Roman" w:hAnsi="Times New Roman"/>
          <w:szCs w:val="24"/>
          <w:lang w:val="es-CL"/>
        </w:rPr>
        <w:t>fenofibrato</w:t>
      </w:r>
      <w:proofErr w:type="spellEnd"/>
      <w:r w:rsidRPr="00B97AFF">
        <w:rPr>
          <w:rFonts w:ascii="Times New Roman" w:hAnsi="Times New Roman"/>
          <w:szCs w:val="24"/>
          <w:lang w:val="es-CL"/>
        </w:rPr>
        <w:t xml:space="preserve"> y </w:t>
      </w:r>
      <w:proofErr w:type="spellStart"/>
      <w:r w:rsidRPr="00B97AFF">
        <w:rPr>
          <w:rFonts w:ascii="Times New Roman" w:hAnsi="Times New Roman"/>
          <w:szCs w:val="24"/>
          <w:lang w:val="es-CL"/>
        </w:rPr>
        <w:t>glitazonas</w:t>
      </w:r>
      <w:proofErr w:type="spellEnd"/>
      <w:r w:rsidRPr="00B97AFF">
        <w:rPr>
          <w:rFonts w:ascii="Times New Roman" w:hAnsi="Times New Roman"/>
          <w:szCs w:val="24"/>
          <w:lang w:val="es-CL"/>
        </w:rPr>
        <w:t>. Por lo tanto, se recomienda monitorizar</w:t>
      </w:r>
      <w:r>
        <w:rPr>
          <w:rFonts w:ascii="Times New Roman" w:hAnsi="Times New Roman"/>
          <w:szCs w:val="24"/>
          <w:lang w:val="es-CL"/>
        </w:rPr>
        <w:t xml:space="preserve"> </w:t>
      </w:r>
      <w:r w:rsidRPr="00B97AFF">
        <w:rPr>
          <w:rFonts w:ascii="Times New Roman" w:hAnsi="Times New Roman"/>
          <w:szCs w:val="24"/>
          <w:lang w:val="es-CL"/>
        </w:rPr>
        <w:t>el colesterol-HDL si se añade uno de estos tratamientos al otro e interrumpir el tratamiento si el</w:t>
      </w:r>
      <w:r>
        <w:rPr>
          <w:rFonts w:ascii="Times New Roman" w:hAnsi="Times New Roman"/>
          <w:szCs w:val="24"/>
          <w:lang w:val="es-CL"/>
        </w:rPr>
        <w:t xml:space="preserve"> </w:t>
      </w:r>
      <w:r w:rsidRPr="00B97AFF">
        <w:rPr>
          <w:rFonts w:ascii="Times New Roman" w:hAnsi="Times New Roman"/>
          <w:szCs w:val="24"/>
          <w:lang w:val="es-CL"/>
        </w:rPr>
        <w:t>colesterol-HDL es demasiado bajo.</w:t>
      </w:r>
    </w:p>
    <w:p w:rsidR="002870F3" w:rsidRDefault="002870F3" w:rsidP="002870F3">
      <w:pPr>
        <w:spacing w:line="240" w:lineRule="atLeast"/>
        <w:jc w:val="both"/>
        <w:rPr>
          <w:rFonts w:ascii="Times New Roman" w:hAnsi="Times New Roman"/>
          <w:szCs w:val="24"/>
          <w:lang w:val="es-CL"/>
        </w:rPr>
      </w:pPr>
    </w:p>
    <w:p w:rsidR="002870F3" w:rsidRPr="00E264B5" w:rsidRDefault="002870F3" w:rsidP="002870F3">
      <w:pPr>
        <w:spacing w:line="240" w:lineRule="atLeast"/>
        <w:jc w:val="both"/>
        <w:rPr>
          <w:rFonts w:ascii="Times New Roman" w:hAnsi="Times New Roman"/>
          <w:szCs w:val="24"/>
          <w:u w:val="single"/>
          <w:lang w:val="es-CL"/>
        </w:rPr>
      </w:pPr>
      <w:r w:rsidRPr="00E264B5">
        <w:rPr>
          <w:rFonts w:ascii="Times New Roman" w:hAnsi="Times New Roman"/>
          <w:szCs w:val="24"/>
          <w:u w:val="single"/>
          <w:lang w:val="es-CL"/>
        </w:rPr>
        <w:t>Enzimas del citocromo P450:</w:t>
      </w:r>
    </w:p>
    <w:p w:rsidR="002870F3" w:rsidRPr="00B97AFF" w:rsidRDefault="002870F3" w:rsidP="002870F3">
      <w:pPr>
        <w:spacing w:line="240" w:lineRule="atLeast"/>
        <w:jc w:val="both"/>
        <w:rPr>
          <w:rFonts w:ascii="Times New Roman" w:hAnsi="Times New Roman"/>
          <w:szCs w:val="24"/>
          <w:lang w:val="es-CL"/>
        </w:rPr>
      </w:pPr>
      <w:r w:rsidRPr="00B97AFF">
        <w:rPr>
          <w:rFonts w:ascii="Times New Roman" w:hAnsi="Times New Roman"/>
          <w:szCs w:val="24"/>
          <w:lang w:val="es-CL"/>
        </w:rPr>
        <w:t xml:space="preserve">Estudios </w:t>
      </w:r>
      <w:r w:rsidRPr="00E264B5">
        <w:rPr>
          <w:rFonts w:ascii="Times New Roman" w:hAnsi="Times New Roman"/>
          <w:i/>
          <w:szCs w:val="24"/>
          <w:lang w:val="es-CL"/>
        </w:rPr>
        <w:t>in vitro</w:t>
      </w:r>
      <w:r w:rsidRPr="00B97AFF">
        <w:rPr>
          <w:rFonts w:ascii="Times New Roman" w:hAnsi="Times New Roman"/>
          <w:szCs w:val="24"/>
          <w:lang w:val="es-CL"/>
        </w:rPr>
        <w:t xml:space="preserve"> con </w:t>
      </w:r>
      <w:proofErr w:type="spellStart"/>
      <w:r w:rsidRPr="00B97AFF">
        <w:rPr>
          <w:rFonts w:ascii="Times New Roman" w:hAnsi="Times New Roman"/>
          <w:szCs w:val="24"/>
          <w:lang w:val="es-CL"/>
        </w:rPr>
        <w:t>microsomas</w:t>
      </w:r>
      <w:proofErr w:type="spellEnd"/>
      <w:r w:rsidRPr="00B97AFF">
        <w:rPr>
          <w:rFonts w:ascii="Times New Roman" w:hAnsi="Times New Roman"/>
          <w:szCs w:val="24"/>
          <w:lang w:val="es-CL"/>
        </w:rPr>
        <w:t xml:space="preserve"> de hígado humano indican que tanto el </w:t>
      </w:r>
      <w:proofErr w:type="spellStart"/>
      <w:r w:rsidRPr="00B97AFF">
        <w:rPr>
          <w:rFonts w:ascii="Times New Roman" w:hAnsi="Times New Roman"/>
          <w:szCs w:val="24"/>
          <w:lang w:val="es-CL"/>
        </w:rPr>
        <w:t>fenofibrato</w:t>
      </w:r>
      <w:proofErr w:type="spellEnd"/>
      <w:r w:rsidRPr="00B97AFF">
        <w:rPr>
          <w:rFonts w:ascii="Times New Roman" w:hAnsi="Times New Roman"/>
          <w:szCs w:val="24"/>
          <w:lang w:val="es-CL"/>
        </w:rPr>
        <w:t xml:space="preserve"> como el</w:t>
      </w:r>
      <w:r>
        <w:rPr>
          <w:rFonts w:ascii="Times New Roman" w:hAnsi="Times New Roman"/>
          <w:szCs w:val="24"/>
          <w:lang w:val="es-CL"/>
        </w:rPr>
        <w:t xml:space="preserve"> </w:t>
      </w:r>
      <w:r w:rsidRPr="00B97AFF">
        <w:rPr>
          <w:rFonts w:ascii="Times New Roman" w:hAnsi="Times New Roman"/>
          <w:szCs w:val="24"/>
          <w:lang w:val="es-CL"/>
        </w:rPr>
        <w:t xml:space="preserve">ácido </w:t>
      </w:r>
      <w:proofErr w:type="spellStart"/>
      <w:r w:rsidRPr="00B97AFF">
        <w:rPr>
          <w:rFonts w:ascii="Times New Roman" w:hAnsi="Times New Roman"/>
          <w:szCs w:val="24"/>
          <w:lang w:val="es-CL"/>
        </w:rPr>
        <w:t>fenofíbrico</w:t>
      </w:r>
      <w:proofErr w:type="spellEnd"/>
      <w:r w:rsidRPr="00B97AFF">
        <w:rPr>
          <w:rFonts w:ascii="Times New Roman" w:hAnsi="Times New Roman"/>
          <w:szCs w:val="24"/>
          <w:lang w:val="es-CL"/>
        </w:rPr>
        <w:t xml:space="preserve"> no son inhibidores de las </w:t>
      </w:r>
      <w:proofErr w:type="spellStart"/>
      <w:r w:rsidRPr="00B97AFF">
        <w:rPr>
          <w:rFonts w:ascii="Times New Roman" w:hAnsi="Times New Roman"/>
          <w:szCs w:val="24"/>
          <w:lang w:val="es-CL"/>
        </w:rPr>
        <w:t>isoformas</w:t>
      </w:r>
      <w:proofErr w:type="spellEnd"/>
      <w:r w:rsidRPr="00B97AFF">
        <w:rPr>
          <w:rFonts w:ascii="Times New Roman" w:hAnsi="Times New Roman"/>
          <w:szCs w:val="24"/>
          <w:lang w:val="es-CL"/>
        </w:rPr>
        <w:t xml:space="preserve"> CYP3A4, CYP2D6, CYP2E1, o CYP1A2</w:t>
      </w:r>
      <w:r>
        <w:rPr>
          <w:rFonts w:ascii="Times New Roman" w:hAnsi="Times New Roman"/>
          <w:szCs w:val="24"/>
          <w:lang w:val="es-CL"/>
        </w:rPr>
        <w:t xml:space="preserve"> </w:t>
      </w:r>
      <w:r w:rsidRPr="00B97AFF">
        <w:rPr>
          <w:rFonts w:ascii="Times New Roman" w:hAnsi="Times New Roman"/>
          <w:szCs w:val="24"/>
          <w:lang w:val="es-CL"/>
        </w:rPr>
        <w:t xml:space="preserve">del citocromo (CYP) P450. Son inhibidores débiles de las </w:t>
      </w:r>
      <w:proofErr w:type="spellStart"/>
      <w:r w:rsidRPr="00B97AFF">
        <w:rPr>
          <w:rFonts w:ascii="Times New Roman" w:hAnsi="Times New Roman"/>
          <w:szCs w:val="24"/>
          <w:lang w:val="es-CL"/>
        </w:rPr>
        <w:t>isoformas</w:t>
      </w:r>
      <w:proofErr w:type="spellEnd"/>
      <w:r w:rsidRPr="00B97AFF">
        <w:rPr>
          <w:rFonts w:ascii="Times New Roman" w:hAnsi="Times New Roman"/>
          <w:szCs w:val="24"/>
          <w:lang w:val="es-CL"/>
        </w:rPr>
        <w:t xml:space="preserve"> CYP2C19 y del CYP2A6 e</w:t>
      </w:r>
      <w:r w:rsidRPr="00B97AFF">
        <w:t xml:space="preserve"> </w:t>
      </w:r>
      <w:r w:rsidRPr="00B97AFF">
        <w:rPr>
          <w:rFonts w:ascii="Times New Roman" w:hAnsi="Times New Roman"/>
          <w:szCs w:val="24"/>
          <w:lang w:val="es-CL"/>
        </w:rPr>
        <w:t xml:space="preserve">inhibidores con baja a moderada intensidad de la </w:t>
      </w:r>
      <w:proofErr w:type="spellStart"/>
      <w:r w:rsidRPr="00B97AFF">
        <w:rPr>
          <w:rFonts w:ascii="Times New Roman" w:hAnsi="Times New Roman"/>
          <w:szCs w:val="24"/>
          <w:lang w:val="es-CL"/>
        </w:rPr>
        <w:t>isoforma</w:t>
      </w:r>
      <w:proofErr w:type="spellEnd"/>
      <w:r w:rsidRPr="00B97AFF">
        <w:rPr>
          <w:rFonts w:ascii="Times New Roman" w:hAnsi="Times New Roman"/>
          <w:szCs w:val="24"/>
          <w:lang w:val="es-CL"/>
        </w:rPr>
        <w:t xml:space="preserve"> CYP2C9 a concentraciones</w:t>
      </w:r>
      <w:r>
        <w:rPr>
          <w:rFonts w:ascii="Times New Roman" w:hAnsi="Times New Roman"/>
          <w:szCs w:val="24"/>
          <w:lang w:val="es-CL"/>
        </w:rPr>
        <w:t xml:space="preserve"> </w:t>
      </w:r>
      <w:r w:rsidRPr="00B97AFF">
        <w:rPr>
          <w:rFonts w:ascii="Times New Roman" w:hAnsi="Times New Roman"/>
          <w:szCs w:val="24"/>
          <w:lang w:val="es-CL"/>
        </w:rPr>
        <w:t>terapéuticas.</w:t>
      </w:r>
    </w:p>
    <w:p w:rsidR="002870F3" w:rsidRDefault="002870F3" w:rsidP="002870F3">
      <w:pPr>
        <w:spacing w:line="240" w:lineRule="atLeast"/>
        <w:jc w:val="both"/>
        <w:rPr>
          <w:rFonts w:ascii="Times New Roman" w:hAnsi="Times New Roman"/>
          <w:szCs w:val="24"/>
          <w:lang w:val="es-CL"/>
        </w:rPr>
      </w:pPr>
      <w:r w:rsidRPr="00B97AFF">
        <w:rPr>
          <w:rFonts w:ascii="Times New Roman" w:hAnsi="Times New Roman"/>
          <w:szCs w:val="24"/>
          <w:lang w:val="es-CL"/>
        </w:rPr>
        <w:t xml:space="preserve">Los pacientes a los que se les administra conjuntamente </w:t>
      </w:r>
      <w:proofErr w:type="spellStart"/>
      <w:r w:rsidRPr="00B97AFF">
        <w:rPr>
          <w:rFonts w:ascii="Times New Roman" w:hAnsi="Times New Roman"/>
          <w:szCs w:val="24"/>
          <w:lang w:val="es-CL"/>
        </w:rPr>
        <w:t>fenofibrato</w:t>
      </w:r>
      <w:proofErr w:type="spellEnd"/>
      <w:r w:rsidRPr="00B97AFF">
        <w:rPr>
          <w:rFonts w:ascii="Times New Roman" w:hAnsi="Times New Roman"/>
          <w:szCs w:val="24"/>
          <w:lang w:val="es-CL"/>
        </w:rPr>
        <w:t xml:space="preserve"> y medicamentos con un</w:t>
      </w:r>
      <w:r>
        <w:rPr>
          <w:rFonts w:ascii="Times New Roman" w:hAnsi="Times New Roman"/>
          <w:szCs w:val="24"/>
          <w:lang w:val="es-CL"/>
        </w:rPr>
        <w:t xml:space="preserve"> </w:t>
      </w:r>
      <w:r w:rsidRPr="00B97AFF">
        <w:rPr>
          <w:rFonts w:ascii="Times New Roman" w:hAnsi="Times New Roman"/>
          <w:szCs w:val="24"/>
          <w:lang w:val="es-CL"/>
        </w:rPr>
        <w:t>estrecho margen terapéutico metabolizados por CYP2C19, CYP2A6, y en especial CYP2C9,</w:t>
      </w:r>
      <w:r>
        <w:rPr>
          <w:rFonts w:ascii="Times New Roman" w:hAnsi="Times New Roman"/>
          <w:szCs w:val="24"/>
          <w:lang w:val="es-CL"/>
        </w:rPr>
        <w:t xml:space="preserve"> </w:t>
      </w:r>
      <w:r w:rsidRPr="00B97AFF">
        <w:rPr>
          <w:rFonts w:ascii="Times New Roman" w:hAnsi="Times New Roman"/>
          <w:szCs w:val="24"/>
          <w:lang w:val="es-CL"/>
        </w:rPr>
        <w:t>deben controlarse estrechamente y, si fuera necesario, se recomienda ajustar la dosis de estos</w:t>
      </w:r>
      <w:r>
        <w:rPr>
          <w:rFonts w:ascii="Times New Roman" w:hAnsi="Times New Roman"/>
          <w:szCs w:val="24"/>
          <w:lang w:val="es-CL"/>
        </w:rPr>
        <w:t xml:space="preserve"> </w:t>
      </w:r>
      <w:r w:rsidRPr="00B97AFF">
        <w:rPr>
          <w:rFonts w:ascii="Times New Roman" w:hAnsi="Times New Roman"/>
          <w:szCs w:val="24"/>
          <w:lang w:val="es-CL"/>
        </w:rPr>
        <w:t>medicamentos.</w:t>
      </w:r>
    </w:p>
    <w:p w:rsidR="002870F3" w:rsidRPr="005429A9" w:rsidRDefault="002870F3" w:rsidP="002870F3">
      <w:pPr>
        <w:spacing w:line="240" w:lineRule="atLeast"/>
        <w:jc w:val="both"/>
        <w:rPr>
          <w:rFonts w:ascii="Times New Roman" w:hAnsi="Times New Roman"/>
          <w:szCs w:val="24"/>
          <w:lang w:val="es-CL"/>
        </w:rPr>
      </w:pPr>
    </w:p>
    <w:p w:rsidR="002870F3" w:rsidRDefault="002870F3" w:rsidP="002870F3">
      <w:pPr>
        <w:spacing w:line="240" w:lineRule="atLeast"/>
        <w:jc w:val="both"/>
        <w:rPr>
          <w:rFonts w:ascii="Times New Roman" w:hAnsi="Times New Roman"/>
          <w:b/>
          <w:szCs w:val="24"/>
        </w:rPr>
      </w:pPr>
      <w:r w:rsidRPr="00890B91">
        <w:rPr>
          <w:rFonts w:ascii="Times New Roman" w:hAnsi="Times New Roman"/>
          <w:b/>
          <w:szCs w:val="24"/>
        </w:rPr>
        <w:t xml:space="preserve">SOBREDOSIS </w:t>
      </w:r>
      <w:r>
        <w:rPr>
          <w:rFonts w:ascii="Times New Roman" w:hAnsi="Times New Roman"/>
          <w:b/>
          <w:szCs w:val="24"/>
        </w:rPr>
        <w:t>–</w:t>
      </w:r>
      <w:r w:rsidRPr="00890B91">
        <w:rPr>
          <w:rFonts w:ascii="Times New Roman" w:hAnsi="Times New Roman"/>
          <w:b/>
          <w:szCs w:val="24"/>
        </w:rPr>
        <w:t xml:space="preserve"> TRATAMIENTO</w:t>
      </w:r>
    </w:p>
    <w:p w:rsidR="002870F3" w:rsidRPr="005429A9" w:rsidRDefault="002870F3" w:rsidP="002870F3">
      <w:pPr>
        <w:spacing w:line="240" w:lineRule="atLeast"/>
        <w:jc w:val="both"/>
        <w:rPr>
          <w:rFonts w:ascii="Times New Roman" w:hAnsi="Times New Roman"/>
          <w:szCs w:val="24"/>
        </w:rPr>
      </w:pPr>
      <w:r w:rsidRPr="005429A9">
        <w:rPr>
          <w:rFonts w:ascii="Times New Roman" w:hAnsi="Times New Roman"/>
          <w:szCs w:val="24"/>
        </w:rPr>
        <w:t xml:space="preserve">No se ha descrito ningún caso de sobredosificación. No se conoce ningún antídoto específico. </w:t>
      </w:r>
    </w:p>
    <w:p w:rsidR="002870F3" w:rsidRPr="00890B91" w:rsidRDefault="002870F3" w:rsidP="002870F3">
      <w:pPr>
        <w:spacing w:line="240" w:lineRule="atLeast"/>
        <w:jc w:val="both"/>
        <w:rPr>
          <w:rFonts w:ascii="Times New Roman" w:hAnsi="Times New Roman"/>
          <w:szCs w:val="24"/>
        </w:rPr>
      </w:pPr>
    </w:p>
    <w:p w:rsidR="002870F3" w:rsidRDefault="002870F3" w:rsidP="002870F3">
      <w:pPr>
        <w:spacing w:line="240" w:lineRule="atLeast"/>
        <w:jc w:val="both"/>
        <w:rPr>
          <w:rFonts w:ascii="Times New Roman" w:hAnsi="Times New Roman"/>
          <w:szCs w:val="24"/>
        </w:rPr>
      </w:pPr>
      <w:r w:rsidRPr="00890B91">
        <w:rPr>
          <w:rFonts w:ascii="Times New Roman" w:hAnsi="Times New Roman"/>
          <w:b/>
          <w:szCs w:val="24"/>
        </w:rPr>
        <w:t>Tratamiento general de la sobredosis:</w:t>
      </w:r>
      <w:r w:rsidRPr="006F60DE">
        <w:rPr>
          <w:rFonts w:ascii="Times New Roman" w:hAnsi="Times New Roman"/>
          <w:szCs w:val="24"/>
        </w:rPr>
        <w:t xml:space="preserve"> </w:t>
      </w:r>
      <w:r w:rsidRPr="005429A9">
        <w:rPr>
          <w:rFonts w:ascii="Times New Roman" w:hAnsi="Times New Roman"/>
          <w:szCs w:val="24"/>
        </w:rPr>
        <w:t>En caso de</w:t>
      </w:r>
      <w:r>
        <w:rPr>
          <w:rFonts w:ascii="Times New Roman" w:hAnsi="Times New Roman"/>
          <w:szCs w:val="24"/>
        </w:rPr>
        <w:t xml:space="preserve"> </w:t>
      </w:r>
      <w:r w:rsidRPr="005429A9">
        <w:rPr>
          <w:rFonts w:ascii="Times New Roman" w:hAnsi="Times New Roman"/>
          <w:szCs w:val="24"/>
        </w:rPr>
        <w:t xml:space="preserve">sobredosis, recurrir al tratamiento sintomático e instaurar las medidas de soporte necesarias. El </w:t>
      </w:r>
      <w:proofErr w:type="spellStart"/>
      <w:r w:rsidRPr="005429A9">
        <w:rPr>
          <w:rFonts w:ascii="Times New Roman" w:hAnsi="Times New Roman"/>
          <w:szCs w:val="24"/>
        </w:rPr>
        <w:t>fenofibrato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Pr="005429A9">
        <w:rPr>
          <w:rFonts w:ascii="Times New Roman" w:hAnsi="Times New Roman"/>
          <w:szCs w:val="24"/>
        </w:rPr>
        <w:t>no puede ser eliminado del organismo por hemodiálisis.</w:t>
      </w:r>
    </w:p>
    <w:p w:rsidR="002870F3" w:rsidRPr="00890B91" w:rsidRDefault="002870F3" w:rsidP="002870F3">
      <w:pPr>
        <w:spacing w:line="240" w:lineRule="atLeast"/>
        <w:jc w:val="both"/>
        <w:rPr>
          <w:rFonts w:ascii="Times New Roman" w:hAnsi="Times New Roman"/>
          <w:b/>
          <w:szCs w:val="24"/>
        </w:rPr>
      </w:pPr>
    </w:p>
    <w:p w:rsidR="002870F3" w:rsidRPr="00890B91" w:rsidRDefault="002870F3" w:rsidP="002870F3">
      <w:pPr>
        <w:spacing w:line="240" w:lineRule="atLeast"/>
        <w:jc w:val="both"/>
        <w:rPr>
          <w:rFonts w:ascii="Times New Roman" w:hAnsi="Times New Roman"/>
          <w:szCs w:val="24"/>
        </w:rPr>
      </w:pPr>
    </w:p>
    <w:p w:rsidR="002870F3" w:rsidRPr="00890B91" w:rsidRDefault="002870F3" w:rsidP="002870F3">
      <w:pPr>
        <w:spacing w:line="240" w:lineRule="atLeast"/>
        <w:jc w:val="both"/>
        <w:rPr>
          <w:rFonts w:ascii="Times New Roman" w:hAnsi="Times New Roman"/>
          <w:b/>
          <w:szCs w:val="24"/>
        </w:rPr>
      </w:pPr>
      <w:r w:rsidRPr="00890B91">
        <w:rPr>
          <w:rFonts w:ascii="Times New Roman" w:hAnsi="Times New Roman"/>
          <w:b/>
          <w:szCs w:val="24"/>
        </w:rPr>
        <w:lastRenderedPageBreak/>
        <w:t>VIA DE ADMINISTRACIÓN - POSOLOGÍA</w:t>
      </w:r>
    </w:p>
    <w:p w:rsidR="002870F3" w:rsidRPr="00890B91" w:rsidRDefault="002870F3" w:rsidP="002870F3">
      <w:pPr>
        <w:spacing w:line="240" w:lineRule="atLeast"/>
        <w:jc w:val="both"/>
        <w:rPr>
          <w:rFonts w:ascii="Times New Roman" w:hAnsi="Times New Roman"/>
          <w:szCs w:val="24"/>
        </w:rPr>
      </w:pPr>
    </w:p>
    <w:p w:rsidR="002870F3" w:rsidRPr="00890B91" w:rsidRDefault="002870F3" w:rsidP="002870F3">
      <w:pPr>
        <w:spacing w:line="240" w:lineRule="atLeast"/>
        <w:jc w:val="both"/>
        <w:rPr>
          <w:rFonts w:ascii="Times New Roman" w:hAnsi="Times New Roman"/>
          <w:szCs w:val="24"/>
        </w:rPr>
      </w:pPr>
      <w:r w:rsidRPr="00E264B5">
        <w:rPr>
          <w:rFonts w:ascii="Times New Roman" w:hAnsi="Times New Roman"/>
          <w:szCs w:val="24"/>
        </w:rPr>
        <w:t>Vía oral</w:t>
      </w:r>
    </w:p>
    <w:p w:rsidR="002870F3" w:rsidRPr="00890B91" w:rsidRDefault="002870F3" w:rsidP="002870F3">
      <w:pPr>
        <w:spacing w:line="240" w:lineRule="atLeast"/>
        <w:jc w:val="both"/>
        <w:rPr>
          <w:rFonts w:ascii="Times New Roman" w:hAnsi="Times New Roman"/>
          <w:szCs w:val="24"/>
        </w:rPr>
      </w:pPr>
      <w:r w:rsidRPr="00890B91">
        <w:rPr>
          <w:rFonts w:ascii="Times New Roman" w:hAnsi="Times New Roman"/>
          <w:b/>
          <w:szCs w:val="24"/>
        </w:rPr>
        <w:t>Dosis:</w:t>
      </w:r>
      <w:r w:rsidRPr="00890B91">
        <w:rPr>
          <w:rFonts w:ascii="Times New Roman" w:hAnsi="Times New Roman"/>
          <w:szCs w:val="24"/>
        </w:rPr>
        <w:t xml:space="preserve"> según prescripción médica.</w:t>
      </w:r>
    </w:p>
    <w:p w:rsidR="002870F3" w:rsidRPr="00890B91" w:rsidRDefault="002870F3" w:rsidP="002870F3">
      <w:pPr>
        <w:spacing w:line="240" w:lineRule="atLeast"/>
        <w:jc w:val="both"/>
        <w:rPr>
          <w:rFonts w:ascii="Times New Roman" w:hAnsi="Times New Roman"/>
          <w:szCs w:val="24"/>
        </w:rPr>
      </w:pPr>
    </w:p>
    <w:p w:rsidR="002870F3" w:rsidRPr="00234AFE" w:rsidRDefault="002870F3" w:rsidP="002870F3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hAnsi="Times New Roman"/>
          <w:szCs w:val="24"/>
        </w:rPr>
      </w:pPr>
      <w:r w:rsidRPr="00890B91">
        <w:rPr>
          <w:rFonts w:ascii="Times New Roman" w:hAnsi="Times New Roman"/>
          <w:b/>
          <w:szCs w:val="24"/>
        </w:rPr>
        <w:t xml:space="preserve">Dosis usual adultos: </w:t>
      </w:r>
      <w:r>
        <w:rPr>
          <w:rFonts w:ascii="Times New Roman" w:hAnsi="Times New Roman"/>
          <w:szCs w:val="24"/>
        </w:rPr>
        <w:t>L</w:t>
      </w:r>
      <w:r w:rsidRPr="00234AFE">
        <w:rPr>
          <w:rFonts w:ascii="Times New Roman" w:hAnsi="Times New Roman"/>
          <w:szCs w:val="24"/>
        </w:rPr>
        <w:t xml:space="preserve">a dosis recomendada es de una cápsula </w:t>
      </w:r>
      <w:r>
        <w:rPr>
          <w:rFonts w:ascii="Times New Roman" w:hAnsi="Times New Roman"/>
          <w:szCs w:val="24"/>
        </w:rPr>
        <w:t>de FIBROLOW</w:t>
      </w:r>
      <w:r w:rsidRPr="00234AFE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Lidose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Pr="00234AFE">
        <w:rPr>
          <w:rFonts w:ascii="Times New Roman" w:hAnsi="Times New Roman"/>
          <w:szCs w:val="24"/>
        </w:rPr>
        <w:t xml:space="preserve">160 </w:t>
      </w:r>
      <w:r>
        <w:rPr>
          <w:rFonts w:ascii="Times New Roman" w:hAnsi="Times New Roman"/>
          <w:szCs w:val="24"/>
        </w:rPr>
        <w:t xml:space="preserve">o 200 mg una vez al día, </w:t>
      </w:r>
      <w:r w:rsidRPr="00E264B5">
        <w:rPr>
          <w:rFonts w:ascii="Times New Roman" w:hAnsi="Times New Roman"/>
          <w:szCs w:val="24"/>
        </w:rPr>
        <w:t>durante una de las principales comidas.</w:t>
      </w:r>
    </w:p>
    <w:p w:rsidR="002870F3" w:rsidRDefault="002870F3" w:rsidP="002870F3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hAnsi="Times New Roman"/>
          <w:szCs w:val="24"/>
          <w:u w:val="single"/>
        </w:rPr>
      </w:pPr>
    </w:p>
    <w:p w:rsidR="002870F3" w:rsidRPr="00234AFE" w:rsidRDefault="002870F3" w:rsidP="002870F3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Adultos mayores</w:t>
      </w:r>
      <w:r w:rsidRPr="00F627D8">
        <w:rPr>
          <w:rFonts w:ascii="Times New Roman" w:hAnsi="Times New Roman"/>
          <w:szCs w:val="24"/>
          <w:u w:val="single"/>
        </w:rPr>
        <w:t>:</w:t>
      </w:r>
      <w:r w:rsidRPr="00234AFE">
        <w:rPr>
          <w:rFonts w:ascii="Times New Roman" w:hAnsi="Times New Roman"/>
          <w:szCs w:val="24"/>
        </w:rPr>
        <w:t xml:space="preserve"> se recomienda la dosis usual para adultos.</w:t>
      </w:r>
    </w:p>
    <w:p w:rsidR="002870F3" w:rsidRDefault="002870F3" w:rsidP="002870F3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hAnsi="Times New Roman"/>
          <w:szCs w:val="24"/>
          <w:u w:val="single"/>
        </w:rPr>
      </w:pPr>
    </w:p>
    <w:p w:rsidR="002870F3" w:rsidRPr="00F627D8" w:rsidRDefault="002870F3" w:rsidP="002870F3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Pacientes pediátricos</w:t>
      </w:r>
      <w:r w:rsidRPr="00F627D8">
        <w:rPr>
          <w:rFonts w:ascii="Times New Roman" w:hAnsi="Times New Roman"/>
          <w:szCs w:val="24"/>
        </w:rPr>
        <w:t>:</w:t>
      </w:r>
      <w:r w:rsidRPr="00234AFE">
        <w:rPr>
          <w:rFonts w:ascii="Times New Roman" w:hAnsi="Times New Roman"/>
          <w:szCs w:val="24"/>
        </w:rPr>
        <w:t xml:space="preserve"> </w:t>
      </w:r>
      <w:r w:rsidRPr="009A4913">
        <w:rPr>
          <w:rFonts w:ascii="Times New Roman" w:hAnsi="Times New Roman"/>
          <w:szCs w:val="24"/>
        </w:rPr>
        <w:t xml:space="preserve">No se ha establecido la seguridad y eficacia de </w:t>
      </w:r>
      <w:proofErr w:type="spellStart"/>
      <w:r w:rsidRPr="009A4913">
        <w:rPr>
          <w:rFonts w:ascii="Times New Roman" w:hAnsi="Times New Roman"/>
          <w:szCs w:val="24"/>
        </w:rPr>
        <w:t>fenofibrato</w:t>
      </w:r>
      <w:proofErr w:type="spellEnd"/>
      <w:r w:rsidRPr="009A4913">
        <w:rPr>
          <w:rFonts w:ascii="Times New Roman" w:hAnsi="Times New Roman"/>
          <w:szCs w:val="24"/>
        </w:rPr>
        <w:t xml:space="preserve"> en niños y adolescentes menores de 18</w:t>
      </w:r>
      <w:r>
        <w:rPr>
          <w:rFonts w:ascii="Times New Roman" w:hAnsi="Times New Roman"/>
          <w:szCs w:val="24"/>
        </w:rPr>
        <w:t xml:space="preserve"> </w:t>
      </w:r>
      <w:r w:rsidRPr="009A4913">
        <w:rPr>
          <w:rFonts w:ascii="Times New Roman" w:hAnsi="Times New Roman"/>
          <w:szCs w:val="24"/>
        </w:rPr>
        <w:t xml:space="preserve">años. No hay datos disponibles. Por lo tanto, no se recomienda el empleo de </w:t>
      </w:r>
      <w:r>
        <w:rPr>
          <w:rFonts w:ascii="Times New Roman" w:hAnsi="Times New Roman"/>
          <w:szCs w:val="24"/>
        </w:rPr>
        <w:t>FIBROLOW</w:t>
      </w:r>
      <w:r w:rsidRPr="009A4913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Lidose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Pr="009A4913">
        <w:rPr>
          <w:rFonts w:ascii="Times New Roman" w:hAnsi="Times New Roman"/>
          <w:szCs w:val="24"/>
        </w:rPr>
        <w:t>en</w:t>
      </w:r>
      <w:r>
        <w:rPr>
          <w:rFonts w:ascii="Times New Roman" w:hAnsi="Times New Roman"/>
          <w:szCs w:val="24"/>
        </w:rPr>
        <w:t xml:space="preserve"> </w:t>
      </w:r>
      <w:r w:rsidRPr="009A4913">
        <w:rPr>
          <w:rFonts w:ascii="Times New Roman" w:hAnsi="Times New Roman"/>
          <w:szCs w:val="24"/>
        </w:rPr>
        <w:t>pacientes menores de 18 años</w:t>
      </w:r>
      <w:r>
        <w:rPr>
          <w:rFonts w:ascii="Times New Roman" w:hAnsi="Times New Roman"/>
          <w:szCs w:val="24"/>
        </w:rPr>
        <w:t>.</w:t>
      </w:r>
    </w:p>
    <w:p w:rsidR="002870F3" w:rsidRDefault="002870F3" w:rsidP="002870F3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hAnsi="Times New Roman"/>
          <w:szCs w:val="24"/>
        </w:rPr>
      </w:pPr>
    </w:p>
    <w:p w:rsidR="002870F3" w:rsidRDefault="002870F3" w:rsidP="002870F3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hAnsi="Times New Roman"/>
          <w:szCs w:val="24"/>
        </w:rPr>
      </w:pPr>
      <w:r w:rsidRPr="00E264B5">
        <w:rPr>
          <w:rFonts w:ascii="Times New Roman" w:hAnsi="Times New Roman"/>
          <w:szCs w:val="24"/>
          <w:u w:val="single"/>
        </w:rPr>
        <w:t>Pacientes con deterioro de la función renal:</w:t>
      </w:r>
      <w:r w:rsidRPr="00234AFE">
        <w:rPr>
          <w:rFonts w:ascii="Times New Roman" w:hAnsi="Times New Roman"/>
          <w:szCs w:val="24"/>
        </w:rPr>
        <w:t xml:space="preserve"> es preciso reducir la dosis en pacientes con insuficiencia renal.</w:t>
      </w:r>
      <w:r>
        <w:rPr>
          <w:rFonts w:ascii="Times New Roman" w:hAnsi="Times New Roman"/>
          <w:szCs w:val="24"/>
        </w:rPr>
        <w:t xml:space="preserve"> En pacientes con enfermedad renal crónica severa, no se recomienda el uso de FIBROLOW </w:t>
      </w:r>
      <w:proofErr w:type="spellStart"/>
      <w:r>
        <w:rPr>
          <w:rFonts w:ascii="Times New Roman" w:hAnsi="Times New Roman"/>
          <w:szCs w:val="24"/>
        </w:rPr>
        <w:t>Lidose</w:t>
      </w:r>
      <w:proofErr w:type="spellEnd"/>
      <w:r>
        <w:rPr>
          <w:rFonts w:ascii="Times New Roman" w:hAnsi="Times New Roman"/>
          <w:szCs w:val="24"/>
        </w:rPr>
        <w:t>.</w:t>
      </w:r>
    </w:p>
    <w:p w:rsidR="002870F3" w:rsidRDefault="002870F3" w:rsidP="002870F3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hAnsi="Times New Roman"/>
          <w:szCs w:val="24"/>
        </w:rPr>
      </w:pPr>
    </w:p>
    <w:p w:rsidR="002870F3" w:rsidRDefault="002870F3" w:rsidP="002870F3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hAnsi="Times New Roman"/>
          <w:szCs w:val="24"/>
        </w:rPr>
      </w:pPr>
      <w:r w:rsidRPr="00E264B5">
        <w:rPr>
          <w:rFonts w:ascii="Times New Roman" w:hAnsi="Times New Roman"/>
          <w:szCs w:val="24"/>
          <w:u w:val="single"/>
        </w:rPr>
        <w:t>Pacientes con enfermedades hepáticas:</w:t>
      </w:r>
      <w:r w:rsidRPr="00234AFE">
        <w:rPr>
          <w:rFonts w:ascii="Times New Roman" w:hAnsi="Times New Roman"/>
          <w:szCs w:val="24"/>
        </w:rPr>
        <w:t xml:space="preserve"> No se</w:t>
      </w:r>
      <w:r>
        <w:rPr>
          <w:rFonts w:ascii="Times New Roman" w:hAnsi="Times New Roman"/>
          <w:szCs w:val="24"/>
        </w:rPr>
        <w:t xml:space="preserve"> recomienda su uso en pacientes con insuficiencia hepática debido a falta de información.</w:t>
      </w:r>
    </w:p>
    <w:p w:rsidR="002870F3" w:rsidRPr="00234AFE" w:rsidRDefault="002870F3" w:rsidP="002870F3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hAnsi="Times New Roman"/>
          <w:szCs w:val="24"/>
        </w:rPr>
      </w:pPr>
    </w:p>
    <w:p w:rsidR="002870F3" w:rsidRDefault="002870F3" w:rsidP="002870F3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hAnsi="Times New Roman"/>
          <w:szCs w:val="24"/>
        </w:rPr>
      </w:pPr>
    </w:p>
    <w:p w:rsidR="002870F3" w:rsidRPr="00890B91" w:rsidRDefault="002870F3" w:rsidP="002870F3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hAnsi="Times New Roman"/>
          <w:szCs w:val="24"/>
        </w:rPr>
      </w:pPr>
    </w:p>
    <w:p w:rsidR="002870F3" w:rsidRPr="00890B91" w:rsidRDefault="002870F3" w:rsidP="002870F3">
      <w:pPr>
        <w:spacing w:line="240" w:lineRule="atLeast"/>
        <w:jc w:val="center"/>
        <w:rPr>
          <w:rFonts w:ascii="Times New Roman" w:hAnsi="Times New Roman"/>
          <w:b/>
          <w:szCs w:val="24"/>
          <w:u w:val="single"/>
          <w:lang w:val="es-CL"/>
        </w:rPr>
      </w:pPr>
      <w:r>
        <w:rPr>
          <w:rFonts w:ascii="Times New Roman" w:hAnsi="Times New Roman"/>
          <w:b/>
          <w:szCs w:val="24"/>
          <w:u w:val="single"/>
          <w:lang w:val="es-CL"/>
        </w:rPr>
        <w:t>B</w:t>
      </w:r>
      <w:r w:rsidRPr="00890B91">
        <w:rPr>
          <w:rFonts w:ascii="Times New Roman" w:hAnsi="Times New Roman"/>
          <w:b/>
          <w:szCs w:val="24"/>
          <w:u w:val="single"/>
          <w:lang w:val="es-CL"/>
        </w:rPr>
        <w:t>ibliografía</w:t>
      </w:r>
    </w:p>
    <w:p w:rsidR="002870F3" w:rsidRPr="005A11C2" w:rsidRDefault="002870F3" w:rsidP="002870F3">
      <w:pPr>
        <w:spacing w:line="240" w:lineRule="atLeast"/>
        <w:jc w:val="both"/>
        <w:rPr>
          <w:rFonts w:ascii="Times New Roman" w:hAnsi="Times New Roman"/>
          <w:szCs w:val="24"/>
          <w:lang w:val="es-CL"/>
        </w:rPr>
      </w:pPr>
    </w:p>
    <w:p w:rsidR="002870F3" w:rsidRPr="00741627" w:rsidRDefault="002870F3" w:rsidP="002870F3">
      <w:pPr>
        <w:spacing w:line="240" w:lineRule="atLeast"/>
        <w:ind w:left="360"/>
        <w:jc w:val="both"/>
        <w:rPr>
          <w:rFonts w:ascii="Times New Roman" w:hAnsi="Times New Roman"/>
          <w:szCs w:val="24"/>
          <w:lang w:val="es-CL"/>
        </w:rPr>
      </w:pPr>
      <w:r>
        <w:rPr>
          <w:rFonts w:ascii="Times New Roman" w:hAnsi="Times New Roman"/>
          <w:szCs w:val="24"/>
          <w:lang w:val="es-CL"/>
        </w:rPr>
        <w:t>1</w:t>
      </w:r>
      <w:r w:rsidRPr="00890B91">
        <w:rPr>
          <w:rFonts w:ascii="Times New Roman" w:hAnsi="Times New Roman"/>
          <w:szCs w:val="24"/>
          <w:lang w:val="es-CL"/>
        </w:rPr>
        <w:t xml:space="preserve">. Folleto producto </w:t>
      </w:r>
      <w:r>
        <w:rPr>
          <w:rFonts w:ascii="Times New Roman" w:hAnsi="Times New Roman"/>
          <w:szCs w:val="24"/>
          <w:lang w:val="es-CL"/>
        </w:rPr>
        <w:t xml:space="preserve">FENOFIBRATO, </w:t>
      </w:r>
      <w:r w:rsidRPr="00890B91">
        <w:rPr>
          <w:rFonts w:ascii="Times New Roman" w:hAnsi="Times New Roman"/>
          <w:szCs w:val="24"/>
          <w:lang w:val="es-CL"/>
        </w:rPr>
        <w:t xml:space="preserve">publicado por </w:t>
      </w:r>
      <w:r w:rsidRPr="00E264B5">
        <w:rPr>
          <w:rFonts w:ascii="Times New Roman" w:hAnsi="Times New Roman"/>
          <w:szCs w:val="24"/>
          <w:lang w:val="es-CL"/>
        </w:rPr>
        <w:t>la EMEA</w:t>
      </w:r>
      <w:r w:rsidRPr="00890B91">
        <w:rPr>
          <w:rFonts w:ascii="Times New Roman" w:hAnsi="Times New Roman"/>
          <w:szCs w:val="24"/>
          <w:lang w:val="es-CL"/>
        </w:rPr>
        <w:t xml:space="preserve"> con fecha </w:t>
      </w:r>
      <w:r>
        <w:rPr>
          <w:rFonts w:ascii="Times New Roman" w:hAnsi="Times New Roman"/>
          <w:szCs w:val="24"/>
          <w:lang w:val="es-CL"/>
        </w:rPr>
        <w:t>Septiembre 2013.</w:t>
      </w:r>
    </w:p>
    <w:p w:rsidR="0074241C" w:rsidRPr="002870F3" w:rsidRDefault="0074241C" w:rsidP="002870F3">
      <w:pPr>
        <w:rPr>
          <w:lang w:val="es-CL"/>
        </w:rPr>
      </w:pPr>
    </w:p>
    <w:sectPr w:rsidR="0074241C" w:rsidRPr="002870F3" w:rsidSect="00ED190D">
      <w:footerReference w:type="default" r:id="rId8"/>
      <w:pgSz w:w="12242" w:h="18722" w:code="14"/>
      <w:pgMar w:top="1701" w:right="1701" w:bottom="1276" w:left="1701" w:header="993" w:footer="760" w:gutter="0"/>
      <w:paperSrc w:first="15" w:other="15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948" w:rsidRDefault="00C05948" w:rsidP="00C05948">
      <w:r>
        <w:separator/>
      </w:r>
    </w:p>
  </w:endnote>
  <w:endnote w:type="continuationSeparator" w:id="0">
    <w:p w:rsidR="00C05948" w:rsidRDefault="00C05948" w:rsidP="00C05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90D" w:rsidRDefault="00CF6A19">
    <w:pPr>
      <w:pStyle w:val="Piedepgina"/>
      <w:jc w:val="right"/>
    </w:pPr>
  </w:p>
  <w:p w:rsidR="00ED190D" w:rsidRDefault="00CF6A19">
    <w:pPr>
      <w:pStyle w:val="Piedepgina"/>
      <w:jc w:val="right"/>
    </w:pPr>
  </w:p>
  <w:p w:rsidR="00ED190D" w:rsidRDefault="00CF6A1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948" w:rsidRDefault="00C05948" w:rsidP="00C05948">
      <w:r>
        <w:separator/>
      </w:r>
    </w:p>
  </w:footnote>
  <w:footnote w:type="continuationSeparator" w:id="0">
    <w:p w:rsidR="00C05948" w:rsidRDefault="00C05948" w:rsidP="00C05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B72CC"/>
    <w:multiLevelType w:val="hybridMultilevel"/>
    <w:tmpl w:val="A3B8588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C5E2D"/>
    <w:multiLevelType w:val="hybridMultilevel"/>
    <w:tmpl w:val="44A4934A"/>
    <w:lvl w:ilvl="0" w:tplc="E8A49CA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20722"/>
    <w:multiLevelType w:val="hybridMultilevel"/>
    <w:tmpl w:val="95149900"/>
    <w:lvl w:ilvl="0" w:tplc="E8A49CA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948"/>
    <w:rsid w:val="002870F3"/>
    <w:rsid w:val="0074241C"/>
    <w:rsid w:val="00C05948"/>
    <w:rsid w:val="00C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948"/>
    <w:pPr>
      <w:widowControl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C05948"/>
    <w:rPr>
      <w:b/>
      <w:bCs/>
    </w:rPr>
  </w:style>
  <w:style w:type="character" w:styleId="nfasis">
    <w:name w:val="Emphasis"/>
    <w:qFormat/>
    <w:rsid w:val="00C05948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C059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594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C059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5948"/>
    <w:rPr>
      <w:rFonts w:ascii="Courier New" w:eastAsia="Times New Roman" w:hAnsi="Courier New" w:cs="Times New Roman"/>
      <w:sz w:val="24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948"/>
    <w:pPr>
      <w:widowControl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C05948"/>
    <w:rPr>
      <w:b/>
      <w:bCs/>
    </w:rPr>
  </w:style>
  <w:style w:type="character" w:styleId="nfasis">
    <w:name w:val="Emphasis"/>
    <w:qFormat/>
    <w:rsid w:val="00C05948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C059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594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C059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5948"/>
    <w:rPr>
      <w:rFonts w:ascii="Courier New" w:eastAsia="Times New Roman" w:hAnsi="Courier New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2463</Words>
  <Characters>13548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Fuentes Gajardo</dc:creator>
  <cp:lastModifiedBy>Katherine Fuentes Gajardo</cp:lastModifiedBy>
  <cp:revision>3</cp:revision>
  <dcterms:created xsi:type="dcterms:W3CDTF">2016-09-08T13:51:00Z</dcterms:created>
  <dcterms:modified xsi:type="dcterms:W3CDTF">2016-09-22T16:13:00Z</dcterms:modified>
</cp:coreProperties>
</file>