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4F81BD"/>
          <w:sz w:val="26"/>
        </w:rPr>
        <w:t>FICHA TÉCNICA</w:t>
      </w:r>
    </w:p>
    <w:p>
      <w:pPr>
        <w:jc w:val="center"/>
      </w:pPr>
      <w:r>
        <w:rPr>
          <w:rFonts w:ascii="Calibri" w:hAnsi="Calibri"/>
          <w:b/>
          <w:color w:val="4F81BD"/>
          <w:sz w:val="26"/>
        </w:rPr>
        <w:t>VALAXAM 160/5 COMPRIMIDOS RECUBIERTOS</w:t>
      </w:r>
    </w:p>
    <w:p>
      <w:r>
        <w:t>Principio activo: AMLODIPINO BESILATO / VALSARTÁN – Presentación: Comprimidos recubiertos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1. Registro ISP</w:t>
            </w:r>
          </w:p>
        </w:tc>
        <w:tc>
          <w:tcPr>
            <w:tcW w:type="dxa" w:w="4320"/>
          </w:tcPr>
          <w:p>
            <w:r>
              <w:t>F-16854/23</w:t>
            </w:r>
          </w:p>
        </w:tc>
      </w:tr>
      <w:tr>
        <w:tc>
          <w:tcPr>
            <w:tcW w:type="dxa" w:w="4320"/>
          </w:tcPr>
          <w:p>
            <w:r>
              <w:t>2. Titular</w:t>
            </w:r>
          </w:p>
        </w:tc>
        <w:tc>
          <w:tcPr>
            <w:tcW w:type="dxa" w:w="4320"/>
          </w:tcPr>
          <w:p>
            <w:r>
              <w:t>LABORATORIOS SAVAL S.A.</w:t>
            </w:r>
          </w:p>
        </w:tc>
      </w:tr>
      <w:tr>
        <w:tc>
          <w:tcPr>
            <w:tcW w:type="dxa" w:w="4320"/>
          </w:tcPr>
          <w:p>
            <w:r>
              <w:t>3. Estado del Registro</w:t>
            </w:r>
          </w:p>
        </w:tc>
        <w:tc>
          <w:tcPr>
            <w:tcW w:type="dxa" w:w="4320"/>
          </w:tcPr>
          <w:p>
            <w:r>
              <w:t>Vigente</w:t>
            </w:r>
          </w:p>
        </w:tc>
      </w:tr>
      <w:tr>
        <w:tc>
          <w:tcPr>
            <w:tcW w:type="dxa" w:w="4320"/>
          </w:tcPr>
          <w:p>
            <w:r>
              <w:t>4. Resolución / Fecha</w:t>
            </w:r>
          </w:p>
        </w:tc>
        <w:tc>
          <w:tcPr>
            <w:tcW w:type="dxa" w:w="4320"/>
          </w:tcPr>
          <w:p>
            <w:r>
              <w:t>Resolución 2248 - 17/06/2008</w:t>
            </w:r>
          </w:p>
        </w:tc>
      </w:tr>
      <w:tr>
        <w:tc>
          <w:tcPr>
            <w:tcW w:type="dxa" w:w="4320"/>
          </w:tcPr>
          <w:p>
            <w:r>
              <w:t>5. Última Renovación</w:t>
            </w:r>
          </w:p>
        </w:tc>
        <w:tc>
          <w:tcPr>
            <w:tcW w:type="dxa" w:w="4320"/>
          </w:tcPr>
          <w:p>
            <w:r>
              <w:t>17/06/2023</w:t>
            </w:r>
          </w:p>
        </w:tc>
      </w:tr>
      <w:tr>
        <w:tc>
          <w:tcPr>
            <w:tcW w:type="dxa" w:w="4320"/>
          </w:tcPr>
          <w:p>
            <w:r>
              <w:t>6. Fecha Próxima Renovación</w:t>
            </w:r>
          </w:p>
        </w:tc>
        <w:tc>
          <w:tcPr>
            <w:tcW w:type="dxa" w:w="4320"/>
          </w:tcPr>
          <w:p>
            <w:r>
              <w:t>17/06/2028</w:t>
            </w:r>
          </w:p>
        </w:tc>
      </w:tr>
      <w:tr>
        <w:tc>
          <w:tcPr>
            <w:tcW w:type="dxa" w:w="4320"/>
          </w:tcPr>
          <w:p>
            <w:r>
              <w:t>7. Régimen</w:t>
            </w:r>
          </w:p>
        </w:tc>
        <w:tc>
          <w:tcPr>
            <w:tcW w:type="dxa" w:w="4320"/>
          </w:tcPr>
          <w:p>
            <w:r>
              <w:t>Fabricación Nacional</w:t>
            </w:r>
          </w:p>
        </w:tc>
      </w:tr>
      <w:tr>
        <w:tc>
          <w:tcPr>
            <w:tcW w:type="dxa" w:w="4320"/>
          </w:tcPr>
          <w:p>
            <w:r>
              <w:t>8. Vía de Administración</w:t>
            </w:r>
          </w:p>
        </w:tc>
        <w:tc>
          <w:tcPr>
            <w:tcW w:type="dxa" w:w="4320"/>
          </w:tcPr>
          <w:p>
            <w:r>
              <w:t>ORAL</w:t>
            </w:r>
          </w:p>
        </w:tc>
      </w:tr>
      <w:tr>
        <w:tc>
          <w:tcPr>
            <w:tcW w:type="dxa" w:w="4320"/>
          </w:tcPr>
          <w:p>
            <w:r>
              <w:t>9. Condición de Venta</w:t>
            </w:r>
          </w:p>
        </w:tc>
        <w:tc>
          <w:tcPr>
            <w:tcW w:type="dxa" w:w="4320"/>
          </w:tcPr>
          <w:p>
            <w:r>
              <w:t>Receta Simple</w:t>
            </w:r>
          </w:p>
        </w:tc>
      </w:tr>
      <w:tr>
        <w:tc>
          <w:tcPr>
            <w:tcW w:type="dxa" w:w="4320"/>
          </w:tcPr>
          <w:p>
            <w:r>
              <w:t>10. Indicación</w:t>
            </w:r>
          </w:p>
        </w:tc>
        <w:tc>
          <w:tcPr>
            <w:tcW w:type="dxa" w:w="4320"/>
          </w:tcPr>
          <w:p>
            <w:r>
              <w:t>Tratamiento de la hipertensión arterial en pacientes que no respoinden adecuadamente con amlodipino y valsartan en monoterapia.</w:t>
            </w:r>
          </w:p>
        </w:tc>
      </w:tr>
      <w:tr>
        <w:tc>
          <w:tcPr>
            <w:tcW w:type="dxa" w:w="4320"/>
          </w:tcPr>
          <w:p>
            <w:r>
              <w:t>11. Composición (Principio Activo)</w:t>
            </w:r>
          </w:p>
        </w:tc>
        <w:tc>
          <w:tcPr>
            <w:tcW w:type="dxa" w:w="4320"/>
          </w:tcPr>
          <w:p>
            <w:r>
              <w:t>AMLODIPINO BESILATO 6,94 mg Núcleo VALSARTÁN 160,00 mg Núcleo</w:t>
            </w:r>
          </w:p>
        </w:tc>
      </w:tr>
      <w:tr>
        <w:tc>
          <w:tcPr>
            <w:tcW w:type="dxa" w:w="4320"/>
          </w:tcPr>
          <w:p>
            <w:r>
              <w:t>12. Envase y Conservación</w:t>
            </w:r>
          </w:p>
        </w:tc>
        <w:tc>
          <w:tcPr>
            <w:tcW w:type="dxa" w:w="4320"/>
          </w:tcPr>
          <w:p>
            <w:r>
              <w:t>Envase Clínico Blister pack de ACLAR PA 300S05 (PVC/ACLAR/PVC 125/75/125) transparente incoloro/ALU 24 Meses Almacenado A No Más De 30ºc 25 a 1000 COMPRIMIDOS RECUBIERTOS Muestra Médica Blister pack de ACLAR PA 300S05 (PVC/ACLAR/PVC 125/75/125) transparente incoloro/ALU 24 Meses Almacenado A No Más De 30ºc 1 a 30 COMPRIMIDOS RECUBIERTOS Venta Público Blister pack de ACLAR PA 300S05 (PVC/ACLAR/PVC 125/75/125) transparente incoloro/ALU 36 Meses Almacenado A No Más De 30ºc 6 a 60 COMPRIMIDOS RECUBIERTOS</w:t>
            </w:r>
          </w:p>
        </w:tc>
      </w:tr>
    </w:tbl>
    <w:p>
      <w:r>
        <w:br/>
        <w:t>Fuente: Instituto de Salud Pública de Chile</w:t>
      </w:r>
    </w:p>
    <w:p>
      <w:r>
        <w:t>URL: https://registrosanitario.ispch.gob.cl/Ficha.aspx?RegistroISP=F-16854/23</w:t>
      </w:r>
    </w:p>
    <w:p>
      <w:r>
        <w:t>Fecha de visita: 05-05-2026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