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AMLIPROS 10/40 COMPRIMIDOS RECUBIERTOS</w:t>
      </w:r>
    </w:p>
    <w:p>
      <w:r>
        <w:t>Principio activo: AMLODIPINO BESILATO – Presentación: Comprimidos recubiertos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F-24519/24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ASCEND LABORATORIES S.p.A.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655 - 09/01/2019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09/01/2024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09/01/2029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Tratamiento de la hipertensión, solo o en combinación con otros agentes antihipertensivos. Esta combinación no está indicada como terapia inicial de la hipertensión.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AMLODIPINO BESILATO 13.870 mg Núcleo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Blíster Alu/Alu impreso 36 Meses Almacenado A No Más De 25ºc 1 a 1000 COMPRIMIDOS RECUBIERTOS Muestra Médica Blíster Alu/Alu impreso 36 Meses Almacenado A No Más De 25ºc 1 a 100 COMPRIMIDOS RECUBIERTOS Venta Público Blíster Alu/Alu impreso 36 Meses Almacenado A No Más De 25ºc 1 a 100 COMPRIMIDOS RECUBIERTOS Envase Clínico Frasco PEAD, blanco, etiquetado y/o impreso, con tapa de PP blanca 36 Meses Almacenado A No Más De 25ºc 1 a 1000 COMPRIMIDOS RECUBIERTOS Venta Público Frasco PEAD, blanco, etiquetado y/o impreso, con tapa de PP blanca 36 Meses Almacenado A No Más De 25ºc 1 a 100 COMPRIMIDOS RECUBIERTOS Muestra Médica Frasco PEAD, blanco, etiquetado y/o impreso, con tapa de PP blanca 36 Meses Almacenado a no más de 25°C 1 a 100 COMPRIMIDOS RECUBIERTOS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https://registrosanitario.ispch.gob.cl/Ficha.aspx?RegistroISP=F-24519/24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