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4F81BD"/>
          <w:sz w:val="26"/>
        </w:rPr>
        <w:t>FICHA TÉCNICA</w:t>
      </w:r>
    </w:p>
    <w:p>
      <w:pPr>
        <w:jc w:val="center"/>
      </w:pPr>
      <w:r>
        <w:rPr>
          <w:rFonts w:ascii="Calibri" w:hAnsi="Calibri"/>
          <w:b/>
          <w:color w:val="4F81BD"/>
          <w:sz w:val="26"/>
        </w:rPr>
        <w:t>ERVASTIN 10/10 COMPRIMIDOS</w:t>
      </w:r>
    </w:p>
    <w:p>
      <w:r>
        <w:t>Principio activo: ROSUVASTATINA CÁLCICA / EZETIMIBA – Presentación: Comprimidos</w:t>
      </w:r>
    </w:p>
    <w:tbl>
      <w:tblPr>
        <w:tblW w:type="auto" w:w="0"/>
        <w:tblLook w:firstColumn="1" w:firstRow="1" w:lastColumn="0" w:lastRow="0" w:noHBand="0" w:noVBand="1" w:val="04A0"/>
      </w:tblPr>
      <w:tblGrid>
        <w:gridCol w:w="4320"/>
        <w:gridCol w:w="4320"/>
      </w:tblGrid>
      <w:tr>
        <w:tc>
          <w:tcPr>
            <w:tcW w:type="dxa" w:w="4320"/>
          </w:tcPr>
          <w:p>
            <w:r>
              <w:t>1. Registro ISP</w:t>
            </w:r>
          </w:p>
        </w:tc>
        <w:tc>
          <w:tcPr>
            <w:tcW w:type="dxa" w:w="4320"/>
          </w:tcPr>
          <w:p>
            <w:r>
              <w:t>F-25045/24</w:t>
            </w:r>
          </w:p>
        </w:tc>
      </w:tr>
      <w:tr>
        <w:tc>
          <w:tcPr>
            <w:tcW w:type="dxa" w:w="4320"/>
          </w:tcPr>
          <w:p>
            <w:r>
              <w:t>2. Titular</w:t>
            </w:r>
          </w:p>
        </w:tc>
        <w:tc>
          <w:tcPr>
            <w:tcW w:type="dxa" w:w="4320"/>
          </w:tcPr>
          <w:p>
            <w:r>
              <w:t>LABORATORIO CHILE S.A.</w:t>
            </w:r>
          </w:p>
        </w:tc>
      </w:tr>
      <w:tr>
        <w:tc>
          <w:tcPr>
            <w:tcW w:type="dxa" w:w="4320"/>
          </w:tcPr>
          <w:p>
            <w:r>
              <w:t>3. Estado del Registro</w:t>
            </w:r>
          </w:p>
        </w:tc>
        <w:tc>
          <w:tcPr>
            <w:tcW w:type="dxa" w:w="4320"/>
          </w:tcPr>
          <w:p>
            <w:r>
              <w:t>Vigente</w:t>
            </w:r>
          </w:p>
        </w:tc>
      </w:tr>
      <w:tr>
        <w:tc>
          <w:tcPr>
            <w:tcW w:type="dxa" w:w="4320"/>
          </w:tcPr>
          <w:p>
            <w:r>
              <w:t>4. Resolución / Fecha</w:t>
            </w:r>
          </w:p>
        </w:tc>
        <w:tc>
          <w:tcPr>
            <w:tcW w:type="dxa" w:w="4320"/>
          </w:tcPr>
          <w:p>
            <w:r>
              <w:t>Resolución 20705 - 12/09/2019</w:t>
            </w:r>
          </w:p>
        </w:tc>
      </w:tr>
      <w:tr>
        <w:tc>
          <w:tcPr>
            <w:tcW w:type="dxa" w:w="4320"/>
          </w:tcPr>
          <w:p>
            <w:r>
              <w:t>5. Última Renovación</w:t>
            </w:r>
          </w:p>
        </w:tc>
        <w:tc>
          <w:tcPr>
            <w:tcW w:type="dxa" w:w="4320"/>
          </w:tcPr>
          <w:p>
            <w:r>
              <w:t>12/09/2024</w:t>
            </w:r>
          </w:p>
        </w:tc>
      </w:tr>
      <w:tr>
        <w:tc>
          <w:tcPr>
            <w:tcW w:type="dxa" w:w="4320"/>
          </w:tcPr>
          <w:p>
            <w:r>
              <w:t>6. Fecha Próxima Renovación</w:t>
            </w:r>
          </w:p>
        </w:tc>
        <w:tc>
          <w:tcPr>
            <w:tcW w:type="dxa" w:w="4320"/>
          </w:tcPr>
          <w:p>
            <w:r>
              <w:t>12/09/2029</w:t>
            </w:r>
          </w:p>
        </w:tc>
      </w:tr>
      <w:tr>
        <w:tc>
          <w:tcPr>
            <w:tcW w:type="dxa" w:w="4320"/>
          </w:tcPr>
          <w:p>
            <w:r>
              <w:t>7. Régimen</w:t>
            </w:r>
          </w:p>
        </w:tc>
        <w:tc>
          <w:tcPr>
            <w:tcW w:type="dxa" w:w="4320"/>
          </w:tcPr>
          <w:p>
            <w:r>
              <w:t>Importado Terminado con Reacondicionamiento Local</w:t>
            </w:r>
          </w:p>
        </w:tc>
      </w:tr>
      <w:tr>
        <w:tc>
          <w:tcPr>
            <w:tcW w:type="dxa" w:w="4320"/>
          </w:tcPr>
          <w:p>
            <w:r>
              <w:t>8. Vía de Administración</w:t>
            </w:r>
          </w:p>
        </w:tc>
        <w:tc>
          <w:tcPr>
            <w:tcW w:type="dxa" w:w="4320"/>
          </w:tcPr>
          <w:p>
            <w:r>
              <w:t>ORAL</w:t>
            </w:r>
          </w:p>
        </w:tc>
      </w:tr>
      <w:tr>
        <w:tc>
          <w:tcPr>
            <w:tcW w:type="dxa" w:w="4320"/>
          </w:tcPr>
          <w:p>
            <w:r>
              <w:t>9. Condición de Venta</w:t>
            </w:r>
          </w:p>
        </w:tc>
        <w:tc>
          <w:tcPr>
            <w:tcW w:type="dxa" w:w="4320"/>
          </w:tcPr>
          <w:p>
            <w:r>
              <w:t>Receta Simple</w:t>
            </w:r>
          </w:p>
        </w:tc>
      </w:tr>
      <w:tr>
        <w:tc>
          <w:tcPr>
            <w:tcW w:type="dxa" w:w="4320"/>
          </w:tcPr>
          <w:p>
            <w:r>
              <w:t>10. Indicación</w:t>
            </w:r>
          </w:p>
        </w:tc>
        <w:tc>
          <w:tcPr>
            <w:tcW w:type="dxa" w:w="4320"/>
          </w:tcPr>
          <w:p>
            <w:r>
              <w:t>Hipercolesterolemia primaria Rosuvastatina/Ezetimiba está indicado como adyuvante de la dieta para el tratamiento de la hipercolesterolemia primaria como terapia de sustitución en pacientes adultos adecuadamente controlados con los productos individuales, dados simultáneamente en el mismo nivel de dosis que en la combinación de dosis fija, pero como productos separados. Prevención de eventos cardiovasculares Rosuvastatina/Ezetimiba está indicada para reducir los riesgos de eventos cardiovasculares como terapia de sustitución en pacientes con enfermedad coronaria e historial de síndrome coronario agudo, que se hayan mantenido bajo control adecuadamente utilizando los mismos principios activos y dosis, pero de forma separada que los incluidos en la mezcla a dosis fija.</w:t>
            </w:r>
          </w:p>
        </w:tc>
      </w:tr>
      <w:tr>
        <w:tc>
          <w:tcPr>
            <w:tcW w:type="dxa" w:w="4320"/>
          </w:tcPr>
          <w:p>
            <w:r>
              <w:t>11. Composición (Principio Activo)</w:t>
            </w:r>
          </w:p>
        </w:tc>
        <w:tc>
          <w:tcPr>
            <w:tcW w:type="dxa" w:w="4320"/>
          </w:tcPr>
          <w:p>
            <w:r>
              <w:t>ROSUVASTATINA CÁLCICA 10,40 mg EZETIMIBA 10,00 mg</w:t>
            </w:r>
          </w:p>
        </w:tc>
      </w:tr>
      <w:tr>
        <w:tc>
          <w:tcPr>
            <w:tcW w:type="dxa" w:w="4320"/>
          </w:tcPr>
          <w:p>
            <w:r>
              <w:t>12. Envase y Conservación</w:t>
            </w:r>
          </w:p>
        </w:tc>
        <w:tc>
          <w:tcPr>
            <w:tcW w:type="dxa" w:w="4320"/>
          </w:tcPr>
          <w:p>
            <w:r>
              <w:t>Clínico Blíster ALU/ALU impreso. 36 Meses Almacenado a no más de 30ºC 1 a 1008 Comprimidos Muestra Blíster ALU/ALU impreso. 36 Meses Almacenado a no más de 30ºC 1 a 30 Comprimidos Venta Público Blíster ALU/ALU impreso. 36 Meses Almacenado a no más de 30ºC 1 a 105 Comprimidos</w:t>
            </w:r>
          </w:p>
        </w:tc>
      </w:tr>
    </w:tbl>
    <w:p>
      <w:r>
        <w:br/>
        <w:t>Fuente: Instituto de Salud Pública de Chile</w:t>
      </w:r>
    </w:p>
    <w:p>
      <w:r>
        <w:t>URL: https://registrosanitario.ispch.gob.cl/Ficha.aspx?RegistroISP=F-25045/24</w:t>
      </w:r>
    </w:p>
    <w:p>
      <w:r>
        <w:t>Fecha de visita: 06-05-2026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