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866E" w14:textId="17C320F6" w:rsidR="00E170B5" w:rsidRPr="006F1D0D" w:rsidRDefault="19E77F6E" w:rsidP="43F0F1CA">
      <w:pPr>
        <w:pStyle w:val="Ttulo2"/>
        <w:rPr>
          <w:lang w:val="es-CL"/>
        </w:rPr>
      </w:pPr>
      <w:r w:rsidRPr="006F1D0D">
        <w:rPr>
          <w:lang w:val="es-CL"/>
        </w:rPr>
        <w:t xml:space="preserve">                                                  FICHA TÉCNICA</w:t>
      </w:r>
    </w:p>
    <w:p w14:paraId="001421CA" w14:textId="1F949370" w:rsidR="00E170B5" w:rsidRPr="006F1D0D" w:rsidRDefault="19E77F6E" w:rsidP="43F0F1CA">
      <w:pPr>
        <w:pStyle w:val="Ttulo2"/>
        <w:rPr>
          <w:lang w:val="es-CL"/>
        </w:rPr>
      </w:pPr>
      <w:r w:rsidRPr="006F1D0D">
        <w:rPr>
          <w:lang w:val="es-CL"/>
        </w:rPr>
        <w:t xml:space="preserve">                             </w:t>
      </w:r>
      <w:r w:rsidR="00D366FC" w:rsidRPr="006F1D0D">
        <w:rPr>
          <w:lang w:val="es-CL"/>
        </w:rPr>
        <w:t>PLURICEF COMPRIMIDOS RECUBIERTOS 200 mg</w:t>
      </w:r>
    </w:p>
    <w:p w14:paraId="4A6BA937" w14:textId="77777777" w:rsidR="00E170B5" w:rsidRPr="006F1D0D" w:rsidRDefault="43F0F1CA" w:rsidP="43F0F1CA">
      <w:pPr>
        <w:rPr>
          <w:lang w:val="es-CL"/>
        </w:rPr>
      </w:pPr>
      <w:r w:rsidRPr="006F1D0D">
        <w:rPr>
          <w:lang w:val="es-CL"/>
        </w:rPr>
        <w:t xml:space="preserve">Principio activo: Zinc sulfato </w:t>
      </w:r>
      <w:proofErr w:type="spellStart"/>
      <w:r w:rsidRPr="006F1D0D">
        <w:rPr>
          <w:lang w:val="es-CL"/>
        </w:rPr>
        <w:t>heptahidratado</w:t>
      </w:r>
      <w:proofErr w:type="spellEnd"/>
      <w:r w:rsidRPr="006F1D0D">
        <w:rPr>
          <w:lang w:val="es-CL"/>
        </w:rPr>
        <w:t xml:space="preserve"> – Presentación: Comprimidos</w:t>
      </w:r>
    </w:p>
    <w:tbl>
      <w:tblPr>
        <w:tblW w:w="0" w:type="auto"/>
        <w:tblLook w:val="04A0" w:firstRow="1" w:lastRow="0" w:firstColumn="1" w:lastColumn="0" w:noHBand="0" w:noVBand="1"/>
      </w:tblPr>
      <w:tblGrid>
        <w:gridCol w:w="3417"/>
        <w:gridCol w:w="5223"/>
      </w:tblGrid>
      <w:tr w:rsidR="00E170B5" w:rsidRPr="006F1D0D" w14:paraId="01BB8C51" w14:textId="77777777" w:rsidTr="43F0F1CA">
        <w:tc>
          <w:tcPr>
            <w:tcW w:w="4320" w:type="dxa"/>
          </w:tcPr>
          <w:p w14:paraId="12D35878" w14:textId="77777777" w:rsidR="00E170B5" w:rsidRPr="006F1D0D" w:rsidRDefault="43F0F1CA" w:rsidP="43F0F1CA">
            <w:pPr>
              <w:rPr>
                <w:lang w:val="es-CL"/>
              </w:rPr>
            </w:pPr>
            <w:r w:rsidRPr="006F1D0D">
              <w:rPr>
                <w:lang w:val="es-CL"/>
              </w:rPr>
              <w:t>1. Registro ISP</w:t>
            </w:r>
          </w:p>
        </w:tc>
        <w:tc>
          <w:tcPr>
            <w:tcW w:w="4320" w:type="dxa"/>
          </w:tcPr>
          <w:p w14:paraId="056F95C5" w14:textId="7DEB9648" w:rsidR="00E170B5" w:rsidRPr="006F1D0D" w:rsidRDefault="00D366FC" w:rsidP="43F0F1CA">
            <w:pPr>
              <w:rPr>
                <w:lang w:val="es-CL"/>
              </w:rPr>
            </w:pPr>
            <w:r w:rsidRPr="006F1D0D">
              <w:rPr>
                <w:lang w:val="es-CL"/>
              </w:rPr>
              <w:t>F-24849/24</w:t>
            </w:r>
          </w:p>
        </w:tc>
      </w:tr>
      <w:tr w:rsidR="00E170B5" w:rsidRPr="006F1D0D" w14:paraId="7DF6E46F" w14:textId="77777777" w:rsidTr="43F0F1CA">
        <w:tc>
          <w:tcPr>
            <w:tcW w:w="4320" w:type="dxa"/>
          </w:tcPr>
          <w:p w14:paraId="60E40210" w14:textId="77777777" w:rsidR="00E170B5" w:rsidRPr="006F1D0D" w:rsidRDefault="43F0F1CA" w:rsidP="43F0F1CA">
            <w:pPr>
              <w:rPr>
                <w:lang w:val="es-CL"/>
              </w:rPr>
            </w:pPr>
            <w:r w:rsidRPr="006F1D0D">
              <w:rPr>
                <w:lang w:val="es-CL"/>
              </w:rPr>
              <w:t>2. Titular</w:t>
            </w:r>
          </w:p>
        </w:tc>
        <w:tc>
          <w:tcPr>
            <w:tcW w:w="4320" w:type="dxa"/>
          </w:tcPr>
          <w:p w14:paraId="0EA91929" w14:textId="4E92FBA0" w:rsidR="00E170B5" w:rsidRPr="006F1D0D" w:rsidRDefault="00D366FC" w:rsidP="43F0F1CA">
            <w:pPr>
              <w:rPr>
                <w:lang w:val="es-CL"/>
              </w:rPr>
            </w:pPr>
            <w:r w:rsidRPr="006F1D0D">
              <w:rPr>
                <w:lang w:val="es-CL"/>
              </w:rPr>
              <w:t xml:space="preserve">ASCEND LABORATORIES </w:t>
            </w:r>
            <w:proofErr w:type="spellStart"/>
            <w:r w:rsidRPr="006F1D0D">
              <w:rPr>
                <w:lang w:val="es-CL"/>
              </w:rPr>
              <w:t>S.p.A</w:t>
            </w:r>
            <w:proofErr w:type="spellEnd"/>
            <w:r w:rsidRPr="006F1D0D">
              <w:rPr>
                <w:lang w:val="es-CL"/>
              </w:rPr>
              <w:t>.</w:t>
            </w:r>
            <w:r w:rsidR="43F0F1CA" w:rsidRPr="006F1D0D">
              <w:rPr>
                <w:lang w:val="es-CL"/>
              </w:rPr>
              <w:t>.</w:t>
            </w:r>
          </w:p>
        </w:tc>
      </w:tr>
      <w:tr w:rsidR="00E170B5" w:rsidRPr="006F1D0D" w14:paraId="59318348" w14:textId="77777777" w:rsidTr="43F0F1CA">
        <w:tc>
          <w:tcPr>
            <w:tcW w:w="4320" w:type="dxa"/>
          </w:tcPr>
          <w:p w14:paraId="59FAA982" w14:textId="77777777" w:rsidR="00E170B5" w:rsidRPr="006F1D0D" w:rsidRDefault="43F0F1CA" w:rsidP="43F0F1CA">
            <w:pPr>
              <w:rPr>
                <w:lang w:val="es-CL"/>
              </w:rPr>
            </w:pPr>
            <w:r w:rsidRPr="006F1D0D">
              <w:rPr>
                <w:lang w:val="es-CL"/>
              </w:rPr>
              <w:t>3. Estado del Registro</w:t>
            </w:r>
          </w:p>
        </w:tc>
        <w:tc>
          <w:tcPr>
            <w:tcW w:w="4320" w:type="dxa"/>
          </w:tcPr>
          <w:p w14:paraId="7EF1B969" w14:textId="77777777" w:rsidR="00E170B5" w:rsidRPr="006F1D0D" w:rsidRDefault="43F0F1CA" w:rsidP="43F0F1CA">
            <w:pPr>
              <w:rPr>
                <w:lang w:val="es-CL"/>
              </w:rPr>
            </w:pPr>
            <w:r w:rsidRPr="006F1D0D">
              <w:rPr>
                <w:lang w:val="es-CL"/>
              </w:rPr>
              <w:t>Vigente</w:t>
            </w:r>
          </w:p>
        </w:tc>
      </w:tr>
      <w:tr w:rsidR="00E170B5" w:rsidRPr="006F1D0D" w14:paraId="799FAF42" w14:textId="77777777" w:rsidTr="43F0F1CA">
        <w:tc>
          <w:tcPr>
            <w:tcW w:w="4320" w:type="dxa"/>
          </w:tcPr>
          <w:p w14:paraId="13AF7E97" w14:textId="77777777" w:rsidR="00E170B5" w:rsidRPr="006F1D0D" w:rsidRDefault="43F0F1CA" w:rsidP="43F0F1CA">
            <w:pPr>
              <w:rPr>
                <w:lang w:val="es-CL"/>
              </w:rPr>
            </w:pPr>
            <w:r w:rsidRPr="006F1D0D">
              <w:rPr>
                <w:lang w:val="es-CL"/>
              </w:rPr>
              <w:t>4. Resolución / Fecha</w:t>
            </w:r>
          </w:p>
        </w:tc>
        <w:tc>
          <w:tcPr>
            <w:tcW w:w="4320" w:type="dxa"/>
          </w:tcPr>
          <w:p w14:paraId="1F1B7A39" w14:textId="7E83A86B" w:rsidR="00E170B5" w:rsidRPr="006F1D0D" w:rsidRDefault="00D366FC" w:rsidP="43F0F1CA">
            <w:pPr>
              <w:rPr>
                <w:lang w:val="es-CL"/>
              </w:rPr>
            </w:pPr>
            <w:r w:rsidRPr="006F1D0D">
              <w:rPr>
                <w:lang w:val="es-CL"/>
              </w:rPr>
              <w:t>Resolución</w:t>
            </w:r>
            <w:r w:rsidRPr="006F1D0D">
              <w:rPr>
                <w:lang w:val="es-CL"/>
              </w:rPr>
              <w:t>11533 – 28/05/2019</w:t>
            </w:r>
          </w:p>
        </w:tc>
      </w:tr>
      <w:tr w:rsidR="00E170B5" w:rsidRPr="006F1D0D" w14:paraId="7E11CBF2" w14:textId="77777777" w:rsidTr="43F0F1CA">
        <w:tc>
          <w:tcPr>
            <w:tcW w:w="4320" w:type="dxa"/>
          </w:tcPr>
          <w:p w14:paraId="10B5C8C8" w14:textId="77777777" w:rsidR="00E170B5" w:rsidRPr="006F1D0D" w:rsidRDefault="43F0F1CA" w:rsidP="43F0F1CA">
            <w:pPr>
              <w:rPr>
                <w:lang w:val="es-CL"/>
              </w:rPr>
            </w:pPr>
            <w:r w:rsidRPr="006F1D0D">
              <w:rPr>
                <w:lang w:val="es-CL"/>
              </w:rPr>
              <w:t>5. Última Renovación</w:t>
            </w:r>
          </w:p>
        </w:tc>
        <w:tc>
          <w:tcPr>
            <w:tcW w:w="4320" w:type="dxa"/>
          </w:tcPr>
          <w:p w14:paraId="4A2BAF59" w14:textId="2D3CA7CB" w:rsidR="00E170B5" w:rsidRPr="006F1D0D" w:rsidRDefault="00D366FC" w:rsidP="43F0F1CA">
            <w:pPr>
              <w:rPr>
                <w:lang w:val="es-CL"/>
              </w:rPr>
            </w:pPr>
            <w:r w:rsidRPr="006F1D0D">
              <w:rPr>
                <w:lang w:val="es-CL"/>
              </w:rPr>
              <w:t>28/05/2024</w:t>
            </w:r>
          </w:p>
        </w:tc>
      </w:tr>
      <w:tr w:rsidR="00E170B5" w:rsidRPr="006F1D0D" w14:paraId="4478629A" w14:textId="77777777" w:rsidTr="43F0F1CA">
        <w:tc>
          <w:tcPr>
            <w:tcW w:w="4320" w:type="dxa"/>
          </w:tcPr>
          <w:p w14:paraId="06D76D7D" w14:textId="77777777" w:rsidR="00E170B5" w:rsidRPr="006F1D0D" w:rsidRDefault="43F0F1CA" w:rsidP="43F0F1CA">
            <w:pPr>
              <w:rPr>
                <w:lang w:val="es-CL"/>
              </w:rPr>
            </w:pPr>
            <w:r w:rsidRPr="006F1D0D">
              <w:rPr>
                <w:lang w:val="es-CL"/>
              </w:rPr>
              <w:t>6. Fecha Próxima Renovación</w:t>
            </w:r>
          </w:p>
        </w:tc>
        <w:tc>
          <w:tcPr>
            <w:tcW w:w="4320" w:type="dxa"/>
          </w:tcPr>
          <w:p w14:paraId="0A6F2A71" w14:textId="60AE6C2E" w:rsidR="00E170B5" w:rsidRPr="006F1D0D" w:rsidRDefault="00D366FC" w:rsidP="43F0F1CA">
            <w:pPr>
              <w:rPr>
                <w:lang w:val="es-CL"/>
              </w:rPr>
            </w:pPr>
            <w:r w:rsidRPr="006F1D0D">
              <w:rPr>
                <w:lang w:val="es-CL"/>
              </w:rPr>
              <w:t>28/05/202</w:t>
            </w:r>
            <w:r w:rsidRPr="006F1D0D">
              <w:rPr>
                <w:lang w:val="es-CL"/>
              </w:rPr>
              <w:t>9</w:t>
            </w:r>
          </w:p>
        </w:tc>
      </w:tr>
      <w:tr w:rsidR="00E170B5" w:rsidRPr="006F1D0D" w14:paraId="27017A76" w14:textId="77777777" w:rsidTr="43F0F1CA">
        <w:tc>
          <w:tcPr>
            <w:tcW w:w="4320" w:type="dxa"/>
          </w:tcPr>
          <w:p w14:paraId="789E9151" w14:textId="77777777" w:rsidR="00E170B5" w:rsidRPr="006F1D0D" w:rsidRDefault="43F0F1CA" w:rsidP="43F0F1CA">
            <w:pPr>
              <w:rPr>
                <w:lang w:val="es-CL"/>
              </w:rPr>
            </w:pPr>
            <w:r w:rsidRPr="006F1D0D">
              <w:rPr>
                <w:lang w:val="es-CL"/>
              </w:rPr>
              <w:t>7. Régimen</w:t>
            </w:r>
          </w:p>
        </w:tc>
        <w:tc>
          <w:tcPr>
            <w:tcW w:w="4320" w:type="dxa"/>
          </w:tcPr>
          <w:p w14:paraId="6F51D49F" w14:textId="3B89CC21" w:rsidR="00E170B5" w:rsidRPr="006F1D0D" w:rsidRDefault="00D366FC" w:rsidP="43F0F1CA">
            <w:pPr>
              <w:rPr>
                <w:lang w:val="es-CL"/>
              </w:rPr>
            </w:pPr>
            <w:r w:rsidRPr="006F1D0D">
              <w:rPr>
                <w:lang w:val="es-CL"/>
              </w:rPr>
              <w:t>Importado </w:t>
            </w:r>
            <w:r w:rsidR="006F1D0D" w:rsidRPr="006F1D0D">
              <w:rPr>
                <w:lang w:val="es-CL"/>
              </w:rPr>
              <w:t>t</w:t>
            </w:r>
            <w:r w:rsidRPr="006F1D0D">
              <w:rPr>
                <w:lang w:val="es-CL"/>
              </w:rPr>
              <w:t>erminado con </w:t>
            </w:r>
            <w:r w:rsidR="006F1D0D" w:rsidRPr="006F1D0D">
              <w:rPr>
                <w:lang w:val="es-CL"/>
              </w:rPr>
              <w:t>r</w:t>
            </w:r>
            <w:r w:rsidRPr="006F1D0D">
              <w:rPr>
                <w:lang w:val="es-CL"/>
              </w:rPr>
              <w:t>eacondicionamiento </w:t>
            </w:r>
            <w:r w:rsidR="006F1D0D" w:rsidRPr="006F1D0D">
              <w:rPr>
                <w:lang w:val="es-CL"/>
              </w:rPr>
              <w:t>l</w:t>
            </w:r>
            <w:r w:rsidRPr="006F1D0D">
              <w:rPr>
                <w:lang w:val="es-CL"/>
              </w:rPr>
              <w:t>ocal </w:t>
            </w:r>
          </w:p>
        </w:tc>
      </w:tr>
      <w:tr w:rsidR="00E170B5" w:rsidRPr="006F1D0D" w14:paraId="5C8A0B91" w14:textId="77777777" w:rsidTr="43F0F1CA">
        <w:tc>
          <w:tcPr>
            <w:tcW w:w="4320" w:type="dxa"/>
          </w:tcPr>
          <w:p w14:paraId="68702E9E" w14:textId="77777777" w:rsidR="00E170B5" w:rsidRPr="006F1D0D" w:rsidRDefault="43F0F1CA" w:rsidP="43F0F1CA">
            <w:pPr>
              <w:rPr>
                <w:lang w:val="es-CL"/>
              </w:rPr>
            </w:pPr>
            <w:r w:rsidRPr="006F1D0D">
              <w:rPr>
                <w:lang w:val="es-CL"/>
              </w:rPr>
              <w:t>8. Vía de Administración</w:t>
            </w:r>
          </w:p>
        </w:tc>
        <w:tc>
          <w:tcPr>
            <w:tcW w:w="4320" w:type="dxa"/>
          </w:tcPr>
          <w:p w14:paraId="374C5B33" w14:textId="77777777" w:rsidR="00E170B5" w:rsidRPr="006F1D0D" w:rsidRDefault="43F0F1CA" w:rsidP="43F0F1CA">
            <w:pPr>
              <w:rPr>
                <w:lang w:val="es-CL"/>
              </w:rPr>
            </w:pPr>
            <w:r w:rsidRPr="006F1D0D">
              <w:rPr>
                <w:lang w:val="es-CL"/>
              </w:rPr>
              <w:t>Oral</w:t>
            </w:r>
          </w:p>
        </w:tc>
      </w:tr>
      <w:tr w:rsidR="00E170B5" w:rsidRPr="006F1D0D" w14:paraId="19CFCFB5" w14:textId="77777777" w:rsidTr="43F0F1CA">
        <w:tc>
          <w:tcPr>
            <w:tcW w:w="4320" w:type="dxa"/>
          </w:tcPr>
          <w:p w14:paraId="7EE733B6" w14:textId="77777777" w:rsidR="00E170B5" w:rsidRPr="006F1D0D" w:rsidRDefault="43F0F1CA" w:rsidP="43F0F1CA">
            <w:pPr>
              <w:rPr>
                <w:lang w:val="es-CL"/>
              </w:rPr>
            </w:pPr>
            <w:r w:rsidRPr="006F1D0D">
              <w:rPr>
                <w:lang w:val="es-CL"/>
              </w:rPr>
              <w:t>9. Condición de Venta</w:t>
            </w:r>
          </w:p>
        </w:tc>
        <w:tc>
          <w:tcPr>
            <w:tcW w:w="4320" w:type="dxa"/>
          </w:tcPr>
          <w:p w14:paraId="35043B44" w14:textId="4822B573" w:rsidR="00E170B5" w:rsidRPr="006F1D0D" w:rsidRDefault="00D366FC" w:rsidP="43F0F1CA">
            <w:pPr>
              <w:rPr>
                <w:lang w:val="es-CL"/>
              </w:rPr>
            </w:pPr>
            <w:r w:rsidRPr="006F1D0D">
              <w:rPr>
                <w:lang w:val="es-CL"/>
              </w:rPr>
              <w:t>Receta </w:t>
            </w:r>
            <w:r w:rsidR="006F1D0D" w:rsidRPr="006F1D0D">
              <w:rPr>
                <w:lang w:val="es-CL"/>
              </w:rPr>
              <w:t>r</w:t>
            </w:r>
            <w:r w:rsidRPr="006F1D0D">
              <w:rPr>
                <w:lang w:val="es-CL"/>
              </w:rPr>
              <w:t>etenida</w:t>
            </w:r>
          </w:p>
        </w:tc>
      </w:tr>
      <w:tr w:rsidR="00E170B5" w:rsidRPr="006F1D0D" w14:paraId="257778F2" w14:textId="77777777" w:rsidTr="43F0F1CA">
        <w:tc>
          <w:tcPr>
            <w:tcW w:w="4320" w:type="dxa"/>
          </w:tcPr>
          <w:p w14:paraId="0D80BB91" w14:textId="77777777" w:rsidR="00E170B5" w:rsidRPr="006F1D0D" w:rsidRDefault="43F0F1CA" w:rsidP="43F0F1CA">
            <w:pPr>
              <w:rPr>
                <w:lang w:val="es-CL"/>
              </w:rPr>
            </w:pPr>
            <w:r w:rsidRPr="006F1D0D">
              <w:rPr>
                <w:lang w:val="es-CL"/>
              </w:rPr>
              <w:t>10. Indicación</w:t>
            </w:r>
          </w:p>
        </w:tc>
        <w:tc>
          <w:tcPr>
            <w:tcW w:w="4320" w:type="dxa"/>
          </w:tcPr>
          <w:p w14:paraId="74AA94A6" w14:textId="6B4DFDC9" w:rsidR="00E170B5" w:rsidRPr="006F1D0D" w:rsidRDefault="00D366FC" w:rsidP="43F0F1CA">
            <w:pPr>
              <w:rPr>
                <w:lang w:val="es-CL"/>
              </w:rPr>
            </w:pPr>
            <w:r w:rsidRPr="006F1D0D">
              <w:rPr>
                <w:lang w:val="es-CL"/>
              </w:rPr>
              <w:t xml:space="preserve">Indicada para el tratamiento oral de infecciones del tracto respiratorio provocadas por microorganismos susceptibles. Exacerbaciones agudas de bronquitis crónica. Neumonía adquirida de la comunidad. Sinusitis maxilar aguda. Otitis media aguda. Faringitis y tonsilitis causadas por </w:t>
            </w:r>
            <w:proofErr w:type="spellStart"/>
            <w:r w:rsidRPr="006F1D0D">
              <w:rPr>
                <w:lang w:val="es-CL"/>
              </w:rPr>
              <w:t>Streptococcus</w:t>
            </w:r>
            <w:proofErr w:type="spellEnd"/>
            <w:r w:rsidRPr="006F1D0D">
              <w:rPr>
                <w:lang w:val="es-CL"/>
              </w:rPr>
              <w:t xml:space="preserve"> </w:t>
            </w:r>
            <w:proofErr w:type="spellStart"/>
            <w:r w:rsidRPr="006F1D0D">
              <w:rPr>
                <w:lang w:val="es-CL"/>
              </w:rPr>
              <w:t>pyogenes</w:t>
            </w:r>
            <w:proofErr w:type="spellEnd"/>
            <w:r w:rsidRPr="006F1D0D">
              <w:rPr>
                <w:lang w:val="es-CL"/>
              </w:rPr>
              <w:t>. Se indica también en infecciones por microorganismos susceptibles en: gonorrea no complicada; infecciones no complicadas de la piel o estructuras de la piel; infecciones no complicadas del tracto urinario.</w:t>
            </w:r>
          </w:p>
        </w:tc>
      </w:tr>
      <w:tr w:rsidR="00E170B5" w:rsidRPr="006F1D0D" w14:paraId="279F3B6D" w14:textId="77777777" w:rsidTr="43F0F1CA">
        <w:tc>
          <w:tcPr>
            <w:tcW w:w="4320" w:type="dxa"/>
          </w:tcPr>
          <w:p w14:paraId="534D0E40" w14:textId="77777777" w:rsidR="00E170B5" w:rsidRPr="006F1D0D" w:rsidRDefault="43F0F1CA" w:rsidP="43F0F1CA">
            <w:pPr>
              <w:rPr>
                <w:lang w:val="es-CL"/>
              </w:rPr>
            </w:pPr>
            <w:r w:rsidRPr="006F1D0D">
              <w:rPr>
                <w:lang w:val="es-CL"/>
              </w:rPr>
              <w:t>11. Composición (Principio Activo)</w:t>
            </w:r>
          </w:p>
        </w:tc>
        <w:tc>
          <w:tcPr>
            <w:tcW w:w="4320" w:type="dxa"/>
          </w:tcPr>
          <w:p w14:paraId="3CF4DA5A" w14:textId="6C88191A" w:rsidR="00E170B5" w:rsidRPr="006F1D0D" w:rsidRDefault="00D366FC" w:rsidP="43F0F1CA">
            <w:pPr>
              <w:rPr>
                <w:lang w:val="es-CL"/>
              </w:rPr>
            </w:pPr>
            <w:r w:rsidRPr="006F1D0D">
              <w:rPr>
                <w:lang w:val="es-CL"/>
              </w:rPr>
              <w:t> </w:t>
            </w:r>
            <w:proofErr w:type="spellStart"/>
            <w:r w:rsidRPr="006F1D0D">
              <w:rPr>
                <w:lang w:val="es-CL"/>
              </w:rPr>
              <w:t>Cefpodoxima</w:t>
            </w:r>
            <w:proofErr w:type="spellEnd"/>
            <w:r w:rsidRPr="006F1D0D">
              <w:rPr>
                <w:lang w:val="es-CL"/>
              </w:rPr>
              <w:t> </w:t>
            </w:r>
            <w:proofErr w:type="spellStart"/>
            <w:r w:rsidRPr="006F1D0D">
              <w:rPr>
                <w:lang w:val="es-CL"/>
              </w:rPr>
              <w:t>proxetilo</w:t>
            </w:r>
            <w:proofErr w:type="spellEnd"/>
            <w:r w:rsidRPr="006F1D0D">
              <w:rPr>
                <w:lang w:val="es-CL"/>
              </w:rPr>
              <w:t> 260,88 mg (núcleo).</w:t>
            </w:r>
          </w:p>
        </w:tc>
      </w:tr>
      <w:tr w:rsidR="00E170B5" w:rsidRPr="006F1D0D" w14:paraId="5B12F221" w14:textId="77777777" w:rsidTr="43F0F1CA">
        <w:tc>
          <w:tcPr>
            <w:tcW w:w="4320" w:type="dxa"/>
          </w:tcPr>
          <w:p w14:paraId="0F06FB21" w14:textId="77777777" w:rsidR="00E170B5" w:rsidRPr="006F1D0D" w:rsidRDefault="43F0F1CA" w:rsidP="43F0F1CA">
            <w:pPr>
              <w:rPr>
                <w:lang w:val="es-CL"/>
              </w:rPr>
            </w:pPr>
            <w:r w:rsidRPr="006F1D0D">
              <w:rPr>
                <w:lang w:val="es-CL"/>
              </w:rPr>
              <w:t>12. Envase y Conservación</w:t>
            </w:r>
          </w:p>
        </w:tc>
        <w:tc>
          <w:tcPr>
            <w:tcW w:w="4320" w:type="dxa"/>
          </w:tcPr>
          <w:p w14:paraId="39A4760A" w14:textId="6FE4D5B9" w:rsidR="00E170B5" w:rsidRPr="006F1D0D" w:rsidRDefault="00D366FC" w:rsidP="43F0F1CA">
            <w:pPr>
              <w:rPr>
                <w:lang w:val="es-CL"/>
              </w:rPr>
            </w:pPr>
            <w:r w:rsidRPr="006F1D0D">
              <w:rPr>
                <w:lang w:val="es-CL"/>
              </w:rPr>
              <w:t xml:space="preserve">Blíster </w:t>
            </w:r>
            <w:proofErr w:type="spellStart"/>
            <w:r w:rsidRPr="006F1D0D">
              <w:rPr>
                <w:lang w:val="es-CL"/>
              </w:rPr>
              <w:t>Alu‑Alu</w:t>
            </w:r>
            <w:proofErr w:type="spellEnd"/>
            <w:r w:rsidRPr="006F1D0D">
              <w:rPr>
                <w:lang w:val="es-CL"/>
              </w:rPr>
              <w:t xml:space="preserve"> (envase clínico, </w:t>
            </w:r>
            <w:r w:rsidRPr="006F1D0D">
              <w:rPr>
                <w:lang w:val="es-CL"/>
              </w:rPr>
              <w:t>venta pública</w:t>
            </w:r>
            <w:r w:rsidRPr="006F1D0D">
              <w:rPr>
                <w:lang w:val="es-CL"/>
              </w:rPr>
              <w:t xml:space="preserve"> y muestra médica): almacenar a no más de 25 °C, contenido de 1 a 1000 comprimidos recubiertos, período de eficacia 24 a 36 meses según presentación. Botella de HDPE con tapa de seguridad (envase clínico, </w:t>
            </w:r>
            <w:proofErr w:type="gramStart"/>
            <w:r w:rsidRPr="006F1D0D">
              <w:rPr>
                <w:lang w:val="es-CL"/>
              </w:rPr>
              <w:t>venta público</w:t>
            </w:r>
            <w:proofErr w:type="gramEnd"/>
            <w:r w:rsidRPr="006F1D0D">
              <w:rPr>
                <w:lang w:val="es-CL"/>
              </w:rPr>
              <w:t xml:space="preserve"> </w:t>
            </w:r>
            <w:r w:rsidRPr="006F1D0D">
              <w:rPr>
                <w:lang w:val="es-CL"/>
              </w:rPr>
              <w:t xml:space="preserve">y muestra médica): almacenar a no más de 30 °C, contenido de 1 a 1000 </w:t>
            </w:r>
            <w:r w:rsidRPr="006F1D0D">
              <w:rPr>
                <w:lang w:val="es-CL"/>
              </w:rPr>
              <w:lastRenderedPageBreak/>
              <w:t>comprimidos recubiertos, período de eficacia 36 meses</w:t>
            </w:r>
          </w:p>
        </w:tc>
      </w:tr>
    </w:tbl>
    <w:p w14:paraId="61BF8FB2" w14:textId="77777777" w:rsidR="00E170B5" w:rsidRPr="006F1D0D" w:rsidRDefault="43F0F1CA" w:rsidP="43F0F1CA">
      <w:pPr>
        <w:rPr>
          <w:lang w:val="es-CL"/>
        </w:rPr>
      </w:pPr>
      <w:r w:rsidRPr="006F1D0D">
        <w:rPr>
          <w:lang w:val="es-CL"/>
        </w:rPr>
        <w:lastRenderedPageBreak/>
        <w:t>Fuente: Instituto de Salud Pública de Chile</w:t>
      </w:r>
    </w:p>
    <w:p w14:paraId="14307962" w14:textId="77777777" w:rsidR="00E170B5" w:rsidRPr="006F1D0D" w:rsidRDefault="43F0F1CA" w:rsidP="43F0F1CA">
      <w:pPr>
        <w:rPr>
          <w:lang w:val="es-CL"/>
        </w:rPr>
      </w:pPr>
      <w:r w:rsidRPr="006F1D0D">
        <w:rPr>
          <w:lang w:val="es-CL"/>
        </w:rPr>
        <w:t>URL: https://registrosanitario.ispch.gob.cl/Ficha.aspx?RegistroISP=F-15920%2f22. Visitado 24-04-2026</w:t>
      </w:r>
    </w:p>
    <w:sectPr w:rsidR="00E170B5" w:rsidRPr="006F1D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425343007">
    <w:abstractNumId w:val="8"/>
  </w:num>
  <w:num w:numId="2" w16cid:durableId="1554731833">
    <w:abstractNumId w:val="6"/>
  </w:num>
  <w:num w:numId="3" w16cid:durableId="1621909199">
    <w:abstractNumId w:val="5"/>
  </w:num>
  <w:num w:numId="4" w16cid:durableId="1995454456">
    <w:abstractNumId w:val="4"/>
  </w:num>
  <w:num w:numId="5" w16cid:durableId="329676750">
    <w:abstractNumId w:val="7"/>
  </w:num>
  <w:num w:numId="6" w16cid:durableId="752624230">
    <w:abstractNumId w:val="3"/>
  </w:num>
  <w:num w:numId="7" w16cid:durableId="761528552">
    <w:abstractNumId w:val="2"/>
  </w:num>
  <w:num w:numId="8" w16cid:durableId="518592342">
    <w:abstractNumId w:val="1"/>
  </w:num>
  <w:num w:numId="9" w16cid:durableId="690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F1D0D"/>
    <w:rsid w:val="00AA1D8D"/>
    <w:rsid w:val="00B47730"/>
    <w:rsid w:val="00C06635"/>
    <w:rsid w:val="00CB0664"/>
    <w:rsid w:val="00D366FC"/>
    <w:rsid w:val="00E170B5"/>
    <w:rsid w:val="00FC693F"/>
    <w:rsid w:val="19E77F6E"/>
    <w:rsid w:val="40CE94EE"/>
    <w:rsid w:val="43F0F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24E6733-16CA-46FD-B75E-52709EE7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266</Words>
  <Characters>1466</Characters>
  <Application>Microsoft Office Word</Application>
  <DocSecurity>0</DocSecurity>
  <Lines>12</Lines>
  <Paragraphs>3</Paragraphs>
  <ScaleCrop>false</ScaleCrop>
  <Manager/>
  <Company/>
  <LinksUpToDate>false</LinksUpToDate>
  <CharactersWithSpaces>1729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Constanza Zuñiga Cataldo</cp:lastModifiedBy>
  <cp:revision>3</cp:revision>
  <dcterms:created xsi:type="dcterms:W3CDTF">2026-04-30T17:21:00Z</dcterms:created>
  <dcterms:modified xsi:type="dcterms:W3CDTF">2026-04-30T17:21:00Z</dcterms:modified>
  <cp:category/>
</cp:coreProperties>
</file>