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Calibri" w:hAnsi="Calibri"/>
          <w:b/>
          <w:color w:val="4F81BD"/>
          <w:sz w:val="26"/>
        </w:rPr>
        <w:t>FICHA TÉCNICA</w:t>
      </w:r>
    </w:p>
    <w:p>
      <w:pPr>
        <w:jc w:val="center"/>
      </w:pPr>
      <w:r>
        <w:rPr>
          <w:rFonts w:ascii="Calibri" w:hAnsi="Calibri"/>
          <w:b/>
          <w:color w:val="4F81BD"/>
          <w:sz w:val="26"/>
        </w:rPr>
        <w:t>EZTIM COMPRIMIDOS 10 mg</w:t>
      </w:r>
    </w:p>
    <w:p>
      <w:r>
        <w:t>Principio activo: EZETIMIBA – Presentación: Comprimidos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1. Registro ISP</w:t>
            </w:r>
          </w:p>
        </w:tc>
        <w:tc>
          <w:tcPr>
            <w:tcW w:type="dxa" w:w="4320"/>
          </w:tcPr>
          <w:p>
            <w:r>
              <w:t>F-24326/23</w:t>
            </w:r>
          </w:p>
        </w:tc>
      </w:tr>
      <w:tr>
        <w:tc>
          <w:tcPr>
            <w:tcW w:type="dxa" w:w="4320"/>
          </w:tcPr>
          <w:p>
            <w:r>
              <w:t>2. Titular</w:t>
            </w:r>
          </w:p>
        </w:tc>
        <w:tc>
          <w:tcPr>
            <w:tcW w:type="dxa" w:w="4320"/>
          </w:tcPr>
          <w:p>
            <w:r>
              <w:t>SEVEN PHARMA CHILE S.p.A.</w:t>
            </w:r>
          </w:p>
        </w:tc>
      </w:tr>
      <w:tr>
        <w:tc>
          <w:tcPr>
            <w:tcW w:type="dxa" w:w="4320"/>
          </w:tcPr>
          <w:p>
            <w:r>
              <w:t>3. Estado del Registro</w:t>
            </w:r>
          </w:p>
        </w:tc>
        <w:tc>
          <w:tcPr>
            <w:tcW w:type="dxa" w:w="4320"/>
          </w:tcPr>
          <w:p>
            <w:r>
              <w:t>Vigente</w:t>
            </w:r>
          </w:p>
        </w:tc>
      </w:tr>
      <w:tr>
        <w:tc>
          <w:tcPr>
            <w:tcW w:type="dxa" w:w="4320"/>
          </w:tcPr>
          <w:p>
            <w:r>
              <w:t>4. Resolución / Fecha</w:t>
            </w:r>
          </w:p>
        </w:tc>
        <w:tc>
          <w:tcPr>
            <w:tcW w:type="dxa" w:w="4320"/>
          </w:tcPr>
          <w:p>
            <w:r>
              <w:t>Resolución 24395 - 20/11/2018</w:t>
            </w:r>
          </w:p>
        </w:tc>
      </w:tr>
      <w:tr>
        <w:tc>
          <w:tcPr>
            <w:tcW w:type="dxa" w:w="4320"/>
          </w:tcPr>
          <w:p>
            <w:r>
              <w:t>5. Última Renovación</w:t>
            </w:r>
          </w:p>
        </w:tc>
        <w:tc>
          <w:tcPr>
            <w:tcW w:type="dxa" w:w="4320"/>
          </w:tcPr>
          <w:p>
            <w:r>
              <w:t>20/11/2023</w:t>
            </w:r>
          </w:p>
        </w:tc>
      </w:tr>
      <w:tr>
        <w:tc>
          <w:tcPr>
            <w:tcW w:type="dxa" w:w="4320"/>
          </w:tcPr>
          <w:p>
            <w:r>
              <w:t>6. Fecha Próxima Renovación</w:t>
            </w:r>
          </w:p>
        </w:tc>
        <w:tc>
          <w:tcPr>
            <w:tcW w:type="dxa" w:w="4320"/>
          </w:tcPr>
          <w:p>
            <w:r>
              <w:t>20/11/2028</w:t>
            </w:r>
          </w:p>
        </w:tc>
      </w:tr>
      <w:tr>
        <w:tc>
          <w:tcPr>
            <w:tcW w:type="dxa" w:w="4320"/>
          </w:tcPr>
          <w:p>
            <w:r>
              <w:t>7. Régimen</w:t>
            </w:r>
          </w:p>
        </w:tc>
        <w:tc>
          <w:tcPr>
            <w:tcW w:type="dxa" w:w="4320"/>
          </w:tcPr>
          <w:p>
            <w:r>
              <w:t>Importado Terminado con Reacondicionamiento Local</w:t>
            </w:r>
          </w:p>
        </w:tc>
      </w:tr>
      <w:tr>
        <w:tc>
          <w:tcPr>
            <w:tcW w:type="dxa" w:w="4320"/>
          </w:tcPr>
          <w:p>
            <w:r>
              <w:t>8. Vía de Administración</w:t>
            </w:r>
          </w:p>
        </w:tc>
        <w:tc>
          <w:tcPr>
            <w:tcW w:type="dxa" w:w="4320"/>
          </w:tcPr>
          <w:p>
            <w:r>
              <w:t>ORAL</w:t>
            </w:r>
          </w:p>
        </w:tc>
      </w:tr>
      <w:tr>
        <w:tc>
          <w:tcPr>
            <w:tcW w:type="dxa" w:w="4320"/>
          </w:tcPr>
          <w:p>
            <w:r>
              <w:t>9. Condición de Venta</w:t>
            </w:r>
          </w:p>
        </w:tc>
        <w:tc>
          <w:tcPr>
            <w:tcW w:type="dxa" w:w="4320"/>
          </w:tcPr>
          <w:p>
            <w:r>
              <w:t>Receta Simple</w:t>
            </w:r>
          </w:p>
        </w:tc>
      </w:tr>
      <w:tr>
        <w:tc>
          <w:tcPr>
            <w:tcW w:type="dxa" w:w="4320"/>
          </w:tcPr>
          <w:p>
            <w:r>
              <w:t>10. Indicación</w:t>
            </w:r>
          </w:p>
        </w:tc>
        <w:tc>
          <w:tcPr>
            <w:tcW w:type="dxa" w:w="4320"/>
          </w:tcPr>
          <w:p>
            <w:r>
              <w:t>Hipercolesterolemia primaria: Administrado con un inhibidor de la HMG-CoA reductasa (estatina) o solo, ezetimiba está indicada como tratamiento adjunto a la dieta para disminuir las concentraciones elevadas de colesterol total (C-total), colesterol de las lipoproteínas de baja densidad (C- LDL), apolipoproteína B (Apo B), triglicéridos y colesterol no asociado a lipoproteínas de alta densidad ( no-C-HDL) y para aumentar el colesterol de alta densidad en pacientes con hipercolesterolemia primaria (familiar heterocigótica y no familiar). Administrado en una combinación con Fenofibrato, está indicado como terapia adjunta a la dieta para la reducción del C-total elevado, C-LDL, Apo B, y del no-C-HDL, en pacientes con hiperlipidemia mixta. Hipercolesterolemioa Familiar Homocigota (HFHo): Administrado con una estatina, está indicado para disminuir las concentraciones elevadas de C-total y de C-LDL, en los pacientes con HFHo. Los pacientes pueden recibir también tratamientos adyuvantes (por ejemplo, aféresis de LDL). Sitosterolemia Homocigota (Fitosterolemia): Está indicado como tratamiento adjunto a la dieta para disminuir las concentraciones elevadas de sitosterol y campesterol, en los pacientes con sitosterolemia familiar homocigota.</w:t>
            </w:r>
          </w:p>
        </w:tc>
      </w:tr>
      <w:tr>
        <w:tc>
          <w:tcPr>
            <w:tcW w:type="dxa" w:w="4320"/>
          </w:tcPr>
          <w:p>
            <w:r>
              <w:t>11. Composición (Principio Activo)</w:t>
            </w:r>
          </w:p>
        </w:tc>
        <w:tc>
          <w:tcPr>
            <w:tcW w:type="dxa" w:w="4320"/>
          </w:tcPr>
          <w:p>
            <w:r>
              <w:t>EZETIMIBA 10,000 mg Núcleo</w:t>
            </w:r>
          </w:p>
        </w:tc>
      </w:tr>
      <w:tr>
        <w:tc>
          <w:tcPr>
            <w:tcW w:type="dxa" w:w="4320"/>
          </w:tcPr>
          <w:p>
            <w:r>
              <w:t>12. Envase y Conservación</w:t>
            </w:r>
          </w:p>
        </w:tc>
        <w:tc>
          <w:tcPr>
            <w:tcW w:type="dxa" w:w="4320"/>
          </w:tcPr>
          <w:p>
            <w:r>
              <w:t>Clínico blíster Alu/Alu, etiquetado y/o impreso, o frasco PEAD, etiquetado y/o impreso, con tapa de PP a prueba de niños y desecante 24 meses Almacenado a no más de 30ºC 1 a 1000 Comprimidos Muestra blíster Alu/Alu, etiquetado y/o impreso, o frasco PEAD, etiquetado y/o impreso, con tapa de PP a prueba de niños y desecante 24 meses Almacenado a no más de 30ºC 1 a 10 Comprimidos Venta Público blíster Alu/Alu, etiquetado y/o impreso, o frasco PEAD, etiquetado y/o impreso, con tapa de PP a prueba de niños y desecante 24 meses Almacenado a no más de 30ºC 1 a 100 Comprimidos</w:t>
            </w:r>
          </w:p>
        </w:tc>
      </w:tr>
    </w:tbl>
    <w:p>
      <w:r>
        <w:br/>
        <w:t>Fuente: Instituto de Salud Pública de Chile</w:t>
      </w:r>
    </w:p>
    <w:p>
      <w:r>
        <w:t>URL: https://registrosanitario.ispch.gob.cl/Ficha.aspx?RegistroISP=F-24326/23</w:t>
      </w:r>
    </w:p>
    <w:p>
      <w:r>
        <w:t>Fecha de visita: 05-05-2026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