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3F023">
      <w:pPr>
        <w:keepNext w:val="0"/>
        <w:keepLines w:val="0"/>
        <w:widowControl/>
        <w:suppressLineNumbers w:val="0"/>
        <w:jc w:val="center"/>
        <w:rPr>
          <w:rFonts w:ascii="Arial" w:hAnsi="Arial" w:eastAsia="Arial" w:cs="Arial"/>
          <w:snapToGrid w:val="0"/>
          <w:color w:val="000000"/>
          <w:kern w:val="0"/>
          <w:position w:val="1"/>
          <w:sz w:val="32"/>
          <w:szCs w:val="32"/>
          <w:lang w:val="en-US" w:eastAsia="en-US" w:bidi="ar-SA"/>
        </w:rPr>
      </w:pPr>
      <w:r>
        <w:rPr>
          <w:rFonts w:hint="default" w:ascii="Arial" w:hAnsi="Arial" w:eastAsia="Arial" w:cs="Arial"/>
          <w:snapToGrid w:val="0"/>
          <w:color w:val="000000"/>
          <w:kern w:val="0"/>
          <w:position w:val="1"/>
          <w:sz w:val="32"/>
          <w:szCs w:val="32"/>
          <w:lang w:val="en-US" w:eastAsia="zh-CN" w:bidi="ar-SA"/>
        </w:rPr>
        <w:t>Technical Data Sheet</w:t>
      </w:r>
    </w:p>
    <w:p w14:paraId="1A132CE3">
      <w:pPr>
        <w:pStyle w:val="2"/>
        <w:spacing w:before="202" w:line="207" w:lineRule="auto"/>
        <w:ind w:left="2266"/>
        <w:outlineLvl w:val="0"/>
        <w:rPr>
          <w:sz w:val="24"/>
          <w:szCs w:val="24"/>
        </w:rPr>
      </w:pPr>
    </w:p>
    <w:p w14:paraId="24AEF550">
      <w:pPr>
        <w:pStyle w:val="2"/>
        <w:spacing w:line="453" w:lineRule="auto"/>
        <w:rPr>
          <w:sz w:val="21"/>
        </w:rPr>
      </w:pPr>
    </w:p>
    <w:p w14:paraId="55B121D0">
      <w:pPr>
        <w:pStyle w:val="2"/>
        <w:spacing w:before="38" w:line="180" w:lineRule="exact"/>
        <w:ind w:left="50"/>
      </w:pPr>
      <w:r>
        <w:rPr>
          <w:position w:val="1"/>
          <w:sz w:val="18"/>
          <w:szCs w:val="18"/>
        </w:rPr>
        <w:t>Product</w:t>
      </w:r>
      <w:r>
        <w:rPr>
          <w:spacing w:val="1"/>
          <w:position w:val="1"/>
          <w:sz w:val="18"/>
          <w:szCs w:val="18"/>
        </w:rPr>
        <w:t xml:space="preserve"> </w:t>
      </w:r>
      <w:r>
        <w:rPr>
          <w:position w:val="1"/>
          <w:sz w:val="18"/>
          <w:szCs w:val="18"/>
        </w:rPr>
        <w:t>name</w:t>
      </w:r>
      <w:r>
        <w:rPr>
          <w:spacing w:val="1"/>
          <w:position w:val="1"/>
          <w:sz w:val="16"/>
          <w:szCs w:val="16"/>
        </w:rPr>
        <w:t xml:space="preserve">: </w:t>
      </w:r>
      <w:r>
        <w:rPr>
          <w:rFonts w:hint="eastAsia"/>
          <w:sz w:val="16"/>
          <w:szCs w:val="16"/>
        </w:rPr>
        <w:t>Dott hair shampoo- Classic Clean</w:t>
      </w:r>
      <w:r>
        <w:rPr>
          <w:spacing w:val="1"/>
          <w:position w:val="1"/>
          <w:sz w:val="16"/>
          <w:szCs w:val="16"/>
        </w:rPr>
        <w:t xml:space="preserve"> </w:t>
      </w:r>
      <w:r>
        <w:rPr>
          <w:spacing w:val="1"/>
          <w:position w:val="1"/>
        </w:rPr>
        <w:t xml:space="preserve"> </w:t>
      </w:r>
      <w:r>
        <w:rPr>
          <w:rFonts w:hint="eastAsia" w:eastAsia="宋体"/>
          <w:spacing w:val="1"/>
          <w:position w:val="1"/>
          <w:lang w:val="en-US" w:eastAsia="zh-CN"/>
        </w:rPr>
        <w:t xml:space="preserve">                                                  </w:t>
      </w:r>
    </w:p>
    <w:p w14:paraId="120C4F14">
      <w:pPr>
        <w:pStyle w:val="2"/>
        <w:spacing w:before="38" w:line="180" w:lineRule="exact"/>
        <w:ind w:left="50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   </w:t>
      </w:r>
    </w:p>
    <w:p w14:paraId="37715833">
      <w:pPr>
        <w:spacing w:line="220" w:lineRule="exact"/>
      </w:pPr>
    </w:p>
    <w:p w14:paraId="7D112A7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eastAsia="zh-CN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Instructions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eastAsia="zh-CN"/>
        </w:rPr>
        <w:t>：</w:t>
      </w:r>
    </w:p>
    <w:p w14:paraId="17B8964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80" w:lineRule="atLeast"/>
        <w:ind w:left="0" w:right="0" w:firstLine="420"/>
        <w:jc w:val="left"/>
        <w:textAlignment w:val="baseline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  <w:t>1. Thoroughly wet the hair before using shampoo to better wash away dirt and avoid damaging the scalp.</w:t>
      </w:r>
    </w:p>
    <w:p w14:paraId="4693E94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80" w:lineRule="atLeast"/>
        <w:ind w:left="0" w:right="0" w:firstLine="420"/>
        <w:jc w:val="left"/>
        <w:textAlignment w:val="baseline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  <w:t>2. Shampoo is rubbed on the palm and then applied to the hair: reduce the burden on the hair and prevent the residue of alkaline substances.</w:t>
      </w:r>
    </w:p>
    <w:p w14:paraId="0BD362F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80" w:lineRule="atLeast"/>
        <w:ind w:left="0" w:right="0" w:firstLine="420"/>
        <w:jc w:val="left"/>
        <w:textAlignment w:val="baseline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  <w:t>3. The minimum shampoo time should not be less than 3 to 5 minutes: especially near the back of the head is easy to accumulate oil.</w:t>
      </w:r>
    </w:p>
    <w:p w14:paraId="7DC6F61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80" w:lineRule="atLeast"/>
        <w:ind w:left="0" w:right="0" w:firstLine="420"/>
        <w:jc w:val="left"/>
        <w:textAlignment w:val="baseline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  <w:t>4. Do not wash your hair, pay attention to cleaning the scalp: sebum accumulation in the scalp is easy to breed bacteria and produce dandruff, and it is easy to lose hair.</w:t>
      </w:r>
    </w:p>
    <w:p w14:paraId="3E73D40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80" w:lineRule="atLeast"/>
        <w:ind w:left="0" w:right="0" w:firstLine="420"/>
        <w:jc w:val="left"/>
        <w:textAlignment w:val="baseline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  <w:t>5. Rinse shampoo thoroughly.</w:t>
      </w:r>
    </w:p>
    <w:p w14:paraId="4C00A53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80" w:lineRule="atLeast"/>
        <w:ind w:right="0" w:firstLine="450" w:firstLineChars="300"/>
        <w:jc w:val="left"/>
        <w:textAlignment w:val="baseline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</w:pPr>
    </w:p>
    <w:p w14:paraId="4DC81FE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80" w:lineRule="atLeast"/>
        <w:ind w:right="0" w:firstLine="450" w:firstLineChars="300"/>
        <w:jc w:val="left"/>
        <w:textAlignment w:val="baseline"/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15"/>
          <w:szCs w:val="15"/>
          <w:shd w:val="clear" w:fill="FFFFFF"/>
          <w:lang w:eastAsia="zh-CN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  <w:t>Appearance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15"/>
          <w:szCs w:val="15"/>
          <w:shd w:val="clear" w:fill="FFFFFF"/>
          <w:lang w:eastAsia="zh-CN"/>
        </w:rPr>
        <w:t>：Liquid</w:t>
      </w:r>
    </w:p>
    <w:p w14:paraId="74693C8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80" w:lineRule="atLeast"/>
        <w:ind w:left="0" w:right="0" w:firstLine="420"/>
        <w:jc w:val="left"/>
        <w:textAlignment w:val="baseline"/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15"/>
          <w:szCs w:val="15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15"/>
          <w:szCs w:val="15"/>
          <w:shd w:val="clear" w:fill="FFFFFF"/>
          <w:lang w:eastAsia="zh-CN"/>
        </w:rPr>
        <w:t xml:space="preserve">Colour：Light </w:t>
      </w:r>
      <w:r>
        <w:rPr>
          <w:rFonts w:hint="eastAsia" w:eastAsia="宋体" w:cs="Arial"/>
          <w:i w:val="0"/>
          <w:iCs w:val="0"/>
          <w:caps w:val="0"/>
          <w:color w:val="333333"/>
          <w:spacing w:val="0"/>
          <w:sz w:val="15"/>
          <w:szCs w:val="15"/>
          <w:shd w:val="clear" w:fill="FFFFFF"/>
          <w:lang w:val="en-US" w:eastAsia="zh-CN"/>
        </w:rPr>
        <w:t>Blue</w:t>
      </w:r>
      <w:bookmarkStart w:id="0" w:name="_GoBack"/>
      <w:bookmarkEnd w:id="0"/>
    </w:p>
    <w:p w14:paraId="1CBBD6E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80" w:lineRule="atLeast"/>
        <w:ind w:left="0" w:right="0" w:firstLine="420"/>
        <w:jc w:val="left"/>
        <w:textAlignment w:val="baseline"/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15"/>
          <w:szCs w:val="15"/>
          <w:shd w:val="clear" w:fill="FFFFFF"/>
          <w:lang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15"/>
          <w:szCs w:val="15"/>
          <w:shd w:val="clear" w:fill="FFFFFF"/>
          <w:lang w:eastAsia="zh-CN"/>
        </w:rPr>
        <w:t>Fragrance：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15"/>
          <w:szCs w:val="15"/>
          <w:shd w:val="clear" w:fill="FFFFFF"/>
          <w:lang w:val="en-US" w:eastAsia="zh-CN"/>
        </w:rPr>
        <w:t>Ar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15"/>
          <w:szCs w:val="15"/>
          <w:shd w:val="clear" w:fill="FFFFFF"/>
          <w:lang w:eastAsia="zh-CN"/>
        </w:rPr>
        <w:t>omatic</w:t>
      </w:r>
    </w:p>
    <w:p w14:paraId="767EE6A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80" w:lineRule="atLeast"/>
        <w:ind w:left="0" w:right="0" w:firstLine="420"/>
        <w:jc w:val="left"/>
        <w:textAlignment w:val="baseline"/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15"/>
          <w:szCs w:val="15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15"/>
          <w:szCs w:val="15"/>
          <w:shd w:val="clear" w:fill="FFFFFF"/>
          <w:lang w:eastAsia="zh-CN"/>
        </w:rPr>
        <w:t>Net content</w:t>
      </w:r>
      <w:r>
        <w:rPr>
          <w:rFonts w:hint="eastAsia" w:eastAsia="宋体" w:cs="Arial"/>
          <w:i w:val="0"/>
          <w:iCs w:val="0"/>
          <w:caps w:val="0"/>
          <w:color w:val="333333"/>
          <w:spacing w:val="0"/>
          <w:sz w:val="15"/>
          <w:szCs w:val="15"/>
          <w:shd w:val="clear" w:fill="FFFFFF"/>
          <w:lang w:eastAsia="zh-CN"/>
        </w:rPr>
        <w:t>：200ml，375ml，</w:t>
      </w:r>
      <w:r>
        <w:rPr>
          <w:rFonts w:hint="eastAsia" w:eastAsia="宋体" w:cs="Arial"/>
          <w:i w:val="0"/>
          <w:iCs w:val="0"/>
          <w:caps w:val="0"/>
          <w:color w:val="333333"/>
          <w:spacing w:val="0"/>
          <w:sz w:val="15"/>
          <w:szCs w:val="15"/>
          <w:shd w:val="clear" w:fill="FFFFFF"/>
          <w:lang w:val="en-US" w:eastAsia="zh-CN"/>
        </w:rPr>
        <w:t>1L</w:t>
      </w:r>
    </w:p>
    <w:tbl>
      <w:tblPr>
        <w:tblStyle w:val="9"/>
        <w:tblW w:w="956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2"/>
        <w:gridCol w:w="2737"/>
        <w:gridCol w:w="2388"/>
        <w:gridCol w:w="1403"/>
        <w:gridCol w:w="1180"/>
      </w:tblGrid>
      <w:tr w14:paraId="4A34D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852" w:type="dxa"/>
            <w:tcBorders>
              <w:top w:val="single" w:color="000000" w:sz="8" w:space="0"/>
              <w:left w:val="single" w:color="000000" w:sz="8" w:space="0"/>
            </w:tcBorders>
            <w:vAlign w:val="top"/>
          </w:tcPr>
          <w:p w14:paraId="0F088078">
            <w:pPr>
              <w:pStyle w:val="10"/>
              <w:spacing w:before="45" w:line="181" w:lineRule="exact"/>
              <w:ind w:left="760"/>
            </w:pPr>
            <w:r>
              <w:rPr>
                <w:spacing w:val="2"/>
                <w:position w:val="1"/>
              </w:rPr>
              <w:t>Tests</w:t>
            </w:r>
          </w:p>
        </w:tc>
        <w:tc>
          <w:tcPr>
            <w:tcW w:w="2737" w:type="dxa"/>
            <w:tcBorders>
              <w:top w:val="single" w:color="000000" w:sz="8" w:space="0"/>
            </w:tcBorders>
            <w:vAlign w:val="top"/>
          </w:tcPr>
          <w:p w14:paraId="5958E623">
            <w:pPr>
              <w:pStyle w:val="10"/>
              <w:spacing w:before="45" w:line="181" w:lineRule="exact"/>
              <w:ind w:left="1248"/>
            </w:pPr>
            <w:r>
              <w:rPr>
                <w:spacing w:val="-1"/>
                <w:position w:val="1"/>
              </w:rPr>
              <w:t>Item</w:t>
            </w:r>
          </w:p>
        </w:tc>
        <w:tc>
          <w:tcPr>
            <w:tcW w:w="2388" w:type="dxa"/>
            <w:tcBorders>
              <w:top w:val="single" w:color="000000" w:sz="8" w:space="0"/>
            </w:tcBorders>
            <w:vAlign w:val="top"/>
          </w:tcPr>
          <w:p w14:paraId="63A2FD60">
            <w:pPr>
              <w:pStyle w:val="10"/>
              <w:spacing w:before="45" w:line="181" w:lineRule="exact"/>
              <w:ind w:left="934"/>
            </w:pPr>
            <w:r>
              <w:rPr>
                <w:spacing w:val="1"/>
                <w:position w:val="1"/>
              </w:rPr>
              <w:t>Standard</w:t>
            </w:r>
          </w:p>
        </w:tc>
        <w:tc>
          <w:tcPr>
            <w:tcW w:w="1403" w:type="dxa"/>
            <w:tcBorders>
              <w:top w:val="single" w:color="000000" w:sz="8" w:space="0"/>
            </w:tcBorders>
            <w:vAlign w:val="top"/>
          </w:tcPr>
          <w:p w14:paraId="0CB08DD0">
            <w:pPr>
              <w:pStyle w:val="10"/>
              <w:spacing w:before="45" w:line="181" w:lineRule="exact"/>
              <w:ind w:left="530"/>
            </w:pPr>
            <w:r>
              <w:rPr>
                <w:position w:val="1"/>
              </w:rPr>
              <w:t>Result</w:t>
            </w:r>
          </w:p>
        </w:tc>
        <w:tc>
          <w:tcPr>
            <w:tcW w:w="118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2E256B1B">
            <w:pPr>
              <w:pStyle w:val="10"/>
              <w:spacing w:before="45" w:line="181" w:lineRule="exact"/>
              <w:ind w:left="246"/>
            </w:pPr>
            <w:r>
              <w:rPr>
                <w:spacing w:val="1"/>
                <w:position w:val="1"/>
              </w:rPr>
              <w:t>Determinate</w:t>
            </w:r>
          </w:p>
        </w:tc>
      </w:tr>
      <w:tr w14:paraId="7C1795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852" w:type="dxa"/>
            <w:vMerge w:val="restart"/>
            <w:tcBorders>
              <w:left w:val="single" w:color="000000" w:sz="8" w:space="0"/>
              <w:bottom w:val="nil"/>
            </w:tcBorders>
            <w:vAlign w:val="top"/>
          </w:tcPr>
          <w:p w14:paraId="70DA1466">
            <w:pPr>
              <w:pStyle w:val="10"/>
              <w:spacing w:line="272" w:lineRule="auto"/>
              <w:rPr>
                <w:sz w:val="21"/>
              </w:rPr>
            </w:pPr>
          </w:p>
          <w:p w14:paraId="75B15FD9">
            <w:pPr>
              <w:pStyle w:val="10"/>
              <w:spacing w:line="272" w:lineRule="auto"/>
              <w:rPr>
                <w:sz w:val="21"/>
              </w:rPr>
            </w:pPr>
          </w:p>
          <w:p w14:paraId="2DC386C1">
            <w:pPr>
              <w:pStyle w:val="10"/>
              <w:spacing w:line="272" w:lineRule="auto"/>
              <w:rPr>
                <w:sz w:val="21"/>
              </w:rPr>
            </w:pPr>
          </w:p>
          <w:p w14:paraId="4DD6593D">
            <w:pPr>
              <w:pStyle w:val="10"/>
              <w:spacing w:before="37" w:line="181" w:lineRule="exact"/>
              <w:ind w:left="33"/>
            </w:pPr>
            <w:r>
              <w:rPr>
                <w:position w:val="2"/>
              </w:rPr>
              <w:t>Microbiological</w:t>
            </w:r>
            <w:r>
              <w:rPr>
                <w:spacing w:val="32"/>
                <w:w w:val="102"/>
                <w:position w:val="2"/>
              </w:rPr>
              <w:t xml:space="preserve"> </w:t>
            </w:r>
            <w:r>
              <w:rPr>
                <w:position w:val="2"/>
              </w:rPr>
              <w:t>CFU</w:t>
            </w:r>
            <w:r>
              <w:rPr>
                <w:spacing w:val="8"/>
                <w:position w:val="2"/>
              </w:rPr>
              <w:t>/g(</w:t>
            </w:r>
            <w:r>
              <w:rPr>
                <w:position w:val="2"/>
              </w:rPr>
              <w:t>ml</w:t>
            </w:r>
            <w:r>
              <w:rPr>
                <w:spacing w:val="8"/>
                <w:position w:val="2"/>
              </w:rPr>
              <w:t>)</w:t>
            </w:r>
          </w:p>
        </w:tc>
        <w:tc>
          <w:tcPr>
            <w:tcW w:w="2737" w:type="dxa"/>
            <w:vAlign w:val="top"/>
          </w:tcPr>
          <w:p w14:paraId="338AC79D">
            <w:pPr>
              <w:pStyle w:val="10"/>
              <w:spacing w:before="30" w:line="181" w:lineRule="exact"/>
              <w:ind w:left="775"/>
            </w:pPr>
            <w:r>
              <w:rPr>
                <w:spacing w:val="1"/>
                <w:position w:val="1"/>
              </w:rPr>
              <w:t>Aerobic Plate Count</w:t>
            </w:r>
          </w:p>
        </w:tc>
        <w:tc>
          <w:tcPr>
            <w:tcW w:w="2388" w:type="dxa"/>
            <w:vMerge w:val="restart"/>
            <w:tcBorders>
              <w:bottom w:val="nil"/>
            </w:tcBorders>
            <w:vAlign w:val="top"/>
          </w:tcPr>
          <w:p w14:paraId="275AF926">
            <w:pPr>
              <w:pStyle w:val="10"/>
              <w:spacing w:line="244" w:lineRule="auto"/>
              <w:rPr>
                <w:sz w:val="21"/>
              </w:rPr>
            </w:pPr>
          </w:p>
          <w:p w14:paraId="6FF4620D">
            <w:pPr>
              <w:pStyle w:val="10"/>
              <w:spacing w:line="244" w:lineRule="auto"/>
              <w:rPr>
                <w:sz w:val="21"/>
              </w:rPr>
            </w:pPr>
          </w:p>
          <w:p w14:paraId="333560FF">
            <w:pPr>
              <w:pStyle w:val="10"/>
              <w:spacing w:line="244" w:lineRule="auto"/>
              <w:rPr>
                <w:sz w:val="21"/>
              </w:rPr>
            </w:pPr>
          </w:p>
          <w:p w14:paraId="72229322">
            <w:pPr>
              <w:pStyle w:val="10"/>
              <w:spacing w:before="38" w:line="173" w:lineRule="exact"/>
              <w:ind w:left="50"/>
            </w:pPr>
            <w:r>
              <w:rPr>
                <w:position w:val="2"/>
              </w:rPr>
              <w:t>European</w:t>
            </w:r>
            <w:r>
              <w:rPr>
                <w:spacing w:val="9"/>
                <w:position w:val="2"/>
              </w:rPr>
              <w:t xml:space="preserve"> </w:t>
            </w:r>
            <w:r>
              <w:rPr>
                <w:position w:val="2"/>
              </w:rPr>
              <w:t>Pharmacopoeia</w:t>
            </w:r>
            <w:r>
              <w:rPr>
                <w:spacing w:val="-6"/>
                <w:position w:val="2"/>
              </w:rPr>
              <w:t xml:space="preserve"> </w:t>
            </w:r>
            <w:r>
              <w:rPr>
                <w:spacing w:val="9"/>
                <w:position w:val="2"/>
              </w:rPr>
              <w:t xml:space="preserve">9.0, </w:t>
            </w:r>
            <w:r>
              <w:rPr>
                <w:position w:val="2"/>
              </w:rPr>
              <w:t>Chapter</w:t>
            </w:r>
          </w:p>
          <w:p w14:paraId="01AE593F">
            <w:pPr>
              <w:pStyle w:val="10"/>
              <w:spacing w:line="173" w:lineRule="exact"/>
              <w:ind w:left="752"/>
            </w:pPr>
            <w:r>
              <w:rPr>
                <w:spacing w:val="1"/>
                <w:position w:val="1"/>
              </w:rPr>
              <w:t>2.6.12 &amp; 2.6.13</w:t>
            </w:r>
          </w:p>
        </w:tc>
        <w:tc>
          <w:tcPr>
            <w:tcW w:w="1403" w:type="dxa"/>
            <w:vAlign w:val="top"/>
          </w:tcPr>
          <w:p w14:paraId="29506ED6">
            <w:pPr>
              <w:pStyle w:val="10"/>
              <w:spacing w:before="68" w:line="203" w:lineRule="auto"/>
              <w:ind w:left="604"/>
            </w:pPr>
            <w:r>
              <w:rPr>
                <w:spacing w:val="-1"/>
              </w:rPr>
              <w:t>&lt;10</w:t>
            </w:r>
          </w:p>
        </w:tc>
        <w:tc>
          <w:tcPr>
            <w:tcW w:w="1180" w:type="dxa"/>
            <w:vMerge w:val="restart"/>
            <w:tcBorders>
              <w:top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7DDD292C">
            <w:pPr>
              <w:pStyle w:val="10"/>
              <w:spacing w:line="284" w:lineRule="auto"/>
              <w:rPr>
                <w:sz w:val="21"/>
              </w:rPr>
            </w:pPr>
          </w:p>
          <w:p w14:paraId="7026C528">
            <w:pPr>
              <w:pStyle w:val="10"/>
              <w:spacing w:line="284" w:lineRule="auto"/>
              <w:rPr>
                <w:sz w:val="21"/>
              </w:rPr>
            </w:pPr>
          </w:p>
          <w:p w14:paraId="7B264D61">
            <w:pPr>
              <w:pStyle w:val="10"/>
              <w:spacing w:line="285" w:lineRule="auto"/>
              <w:rPr>
                <w:sz w:val="21"/>
              </w:rPr>
            </w:pPr>
          </w:p>
          <w:p w14:paraId="27C5A9C8">
            <w:pPr>
              <w:pStyle w:val="10"/>
              <w:spacing w:before="37" w:line="203" w:lineRule="auto"/>
              <w:ind w:left="459"/>
            </w:pPr>
            <w:r>
              <w:t>Pass</w:t>
            </w:r>
          </w:p>
        </w:tc>
      </w:tr>
      <w:tr w14:paraId="49A45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852" w:type="dxa"/>
            <w:vMerge w:val="continue"/>
            <w:tcBorders>
              <w:top w:val="nil"/>
              <w:left w:val="single" w:color="000000" w:sz="8" w:space="0"/>
              <w:bottom w:val="nil"/>
            </w:tcBorders>
            <w:vAlign w:val="top"/>
          </w:tcPr>
          <w:p w14:paraId="6179A9CE">
            <w:pPr>
              <w:pStyle w:val="10"/>
              <w:rPr>
                <w:sz w:val="21"/>
              </w:rPr>
            </w:pPr>
          </w:p>
        </w:tc>
        <w:tc>
          <w:tcPr>
            <w:tcW w:w="2737" w:type="dxa"/>
            <w:vAlign w:val="top"/>
          </w:tcPr>
          <w:p w14:paraId="6CFCC572">
            <w:pPr>
              <w:pStyle w:val="10"/>
              <w:spacing w:before="41" w:line="181" w:lineRule="exact"/>
              <w:ind w:left="804"/>
            </w:pPr>
            <w:r>
              <w:rPr>
                <w:position w:val="1"/>
              </w:rPr>
              <w:t>Mold</w:t>
            </w:r>
            <w:r>
              <w:rPr>
                <w:spacing w:val="6"/>
                <w:position w:val="1"/>
              </w:rPr>
              <w:t xml:space="preserve"> &amp;</w:t>
            </w:r>
            <w:r>
              <w:rPr>
                <w:position w:val="1"/>
              </w:rPr>
              <w:t>Yeast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position w:val="1"/>
              </w:rPr>
              <w:t>Count</w:t>
            </w:r>
          </w:p>
        </w:tc>
        <w:tc>
          <w:tcPr>
            <w:tcW w:w="2388" w:type="dxa"/>
            <w:vMerge w:val="continue"/>
            <w:tcBorders>
              <w:top w:val="nil"/>
              <w:bottom w:val="nil"/>
            </w:tcBorders>
            <w:vAlign w:val="top"/>
          </w:tcPr>
          <w:p w14:paraId="54C00472">
            <w:pPr>
              <w:pStyle w:val="10"/>
              <w:rPr>
                <w:sz w:val="21"/>
              </w:rPr>
            </w:pPr>
          </w:p>
        </w:tc>
        <w:tc>
          <w:tcPr>
            <w:tcW w:w="1403" w:type="dxa"/>
            <w:vAlign w:val="top"/>
          </w:tcPr>
          <w:p w14:paraId="4088465B">
            <w:pPr>
              <w:pStyle w:val="10"/>
              <w:spacing w:before="79" w:line="203" w:lineRule="auto"/>
              <w:ind w:left="604"/>
            </w:pPr>
            <w:r>
              <w:rPr>
                <w:spacing w:val="-1"/>
              </w:rPr>
              <w:t>&lt;10</w:t>
            </w:r>
          </w:p>
        </w:tc>
        <w:tc>
          <w:tcPr>
            <w:tcW w:w="1180" w:type="dxa"/>
            <w:vMerge w:val="continue"/>
            <w:tcBorders>
              <w:top w:val="nil"/>
              <w:bottom w:val="nil"/>
              <w:right w:val="single" w:color="000000" w:sz="8" w:space="0"/>
            </w:tcBorders>
            <w:vAlign w:val="top"/>
          </w:tcPr>
          <w:p w14:paraId="1C533A51">
            <w:pPr>
              <w:pStyle w:val="10"/>
              <w:rPr>
                <w:sz w:val="21"/>
              </w:rPr>
            </w:pPr>
          </w:p>
        </w:tc>
      </w:tr>
      <w:tr w14:paraId="3D359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852" w:type="dxa"/>
            <w:vMerge w:val="continue"/>
            <w:tcBorders>
              <w:top w:val="nil"/>
              <w:left w:val="single" w:color="000000" w:sz="8" w:space="0"/>
              <w:bottom w:val="nil"/>
            </w:tcBorders>
            <w:vAlign w:val="top"/>
          </w:tcPr>
          <w:p w14:paraId="1D664783">
            <w:pPr>
              <w:pStyle w:val="10"/>
              <w:rPr>
                <w:sz w:val="21"/>
              </w:rPr>
            </w:pPr>
          </w:p>
        </w:tc>
        <w:tc>
          <w:tcPr>
            <w:tcW w:w="2737" w:type="dxa"/>
            <w:vAlign w:val="top"/>
          </w:tcPr>
          <w:p w14:paraId="253699E2">
            <w:pPr>
              <w:pStyle w:val="10"/>
              <w:spacing w:before="78" w:line="205" w:lineRule="auto"/>
              <w:ind w:left="901"/>
            </w:pPr>
            <w:r>
              <w:t>Escherichia Coli</w:t>
            </w:r>
          </w:p>
        </w:tc>
        <w:tc>
          <w:tcPr>
            <w:tcW w:w="2388" w:type="dxa"/>
            <w:vMerge w:val="continue"/>
            <w:tcBorders>
              <w:top w:val="nil"/>
              <w:bottom w:val="nil"/>
            </w:tcBorders>
            <w:vAlign w:val="top"/>
          </w:tcPr>
          <w:p w14:paraId="4FD2DCA4">
            <w:pPr>
              <w:pStyle w:val="10"/>
              <w:rPr>
                <w:sz w:val="21"/>
              </w:rPr>
            </w:pPr>
          </w:p>
        </w:tc>
        <w:tc>
          <w:tcPr>
            <w:tcW w:w="1403" w:type="dxa"/>
            <w:vAlign w:val="top"/>
          </w:tcPr>
          <w:p w14:paraId="7E6CC747">
            <w:pPr>
              <w:pStyle w:val="10"/>
              <w:spacing w:before="42" w:line="181" w:lineRule="exact"/>
              <w:ind w:left="343"/>
            </w:pPr>
            <w:r>
              <w:rPr>
                <w:spacing w:val="1"/>
                <w:position w:val="1"/>
              </w:rPr>
              <w:t>Not detected</w:t>
            </w:r>
          </w:p>
        </w:tc>
        <w:tc>
          <w:tcPr>
            <w:tcW w:w="1180" w:type="dxa"/>
            <w:vMerge w:val="continue"/>
            <w:tcBorders>
              <w:top w:val="nil"/>
              <w:bottom w:val="nil"/>
              <w:right w:val="single" w:color="000000" w:sz="8" w:space="0"/>
            </w:tcBorders>
            <w:vAlign w:val="top"/>
          </w:tcPr>
          <w:p w14:paraId="3F53538E">
            <w:pPr>
              <w:pStyle w:val="10"/>
              <w:rPr>
                <w:sz w:val="21"/>
              </w:rPr>
            </w:pPr>
          </w:p>
        </w:tc>
      </w:tr>
      <w:tr w14:paraId="56B8D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852" w:type="dxa"/>
            <w:vMerge w:val="continue"/>
            <w:tcBorders>
              <w:top w:val="nil"/>
              <w:left w:val="single" w:color="000000" w:sz="8" w:space="0"/>
              <w:bottom w:val="nil"/>
            </w:tcBorders>
            <w:vAlign w:val="top"/>
          </w:tcPr>
          <w:p w14:paraId="591C0661">
            <w:pPr>
              <w:pStyle w:val="10"/>
              <w:rPr>
                <w:sz w:val="21"/>
              </w:rPr>
            </w:pPr>
          </w:p>
        </w:tc>
        <w:tc>
          <w:tcPr>
            <w:tcW w:w="2737" w:type="dxa"/>
            <w:vAlign w:val="top"/>
          </w:tcPr>
          <w:p w14:paraId="75BD0B7A">
            <w:pPr>
              <w:pStyle w:val="10"/>
              <w:spacing w:before="43" w:line="181" w:lineRule="exact"/>
              <w:ind w:left="596"/>
            </w:pPr>
            <w:r>
              <w:rPr>
                <w:spacing w:val="2"/>
                <w:position w:val="2"/>
              </w:rPr>
              <w:t>Pseudomonas</w:t>
            </w:r>
            <w:r>
              <w:rPr>
                <w:spacing w:val="-6"/>
                <w:position w:val="2"/>
              </w:rPr>
              <w:t xml:space="preserve"> </w:t>
            </w:r>
            <w:r>
              <w:rPr>
                <w:spacing w:val="2"/>
                <w:position w:val="2"/>
              </w:rPr>
              <w:t>Aeruginosa</w:t>
            </w:r>
          </w:p>
        </w:tc>
        <w:tc>
          <w:tcPr>
            <w:tcW w:w="2388" w:type="dxa"/>
            <w:vMerge w:val="continue"/>
            <w:tcBorders>
              <w:top w:val="nil"/>
              <w:bottom w:val="nil"/>
            </w:tcBorders>
            <w:vAlign w:val="top"/>
          </w:tcPr>
          <w:p w14:paraId="76E1E030">
            <w:pPr>
              <w:pStyle w:val="10"/>
              <w:rPr>
                <w:sz w:val="21"/>
              </w:rPr>
            </w:pPr>
          </w:p>
        </w:tc>
        <w:tc>
          <w:tcPr>
            <w:tcW w:w="1403" w:type="dxa"/>
            <w:vAlign w:val="top"/>
          </w:tcPr>
          <w:p w14:paraId="327E27DA">
            <w:pPr>
              <w:pStyle w:val="10"/>
              <w:spacing w:before="43" w:line="181" w:lineRule="exact"/>
              <w:ind w:left="343"/>
            </w:pPr>
            <w:r>
              <w:rPr>
                <w:spacing w:val="1"/>
                <w:position w:val="1"/>
              </w:rPr>
              <w:t>Not detected</w:t>
            </w:r>
          </w:p>
        </w:tc>
        <w:tc>
          <w:tcPr>
            <w:tcW w:w="1180" w:type="dxa"/>
            <w:vMerge w:val="continue"/>
            <w:tcBorders>
              <w:top w:val="nil"/>
              <w:bottom w:val="nil"/>
              <w:right w:val="single" w:color="000000" w:sz="8" w:space="0"/>
            </w:tcBorders>
            <w:vAlign w:val="top"/>
          </w:tcPr>
          <w:p w14:paraId="4EC739D2">
            <w:pPr>
              <w:pStyle w:val="10"/>
              <w:rPr>
                <w:sz w:val="21"/>
              </w:rPr>
            </w:pPr>
          </w:p>
        </w:tc>
      </w:tr>
      <w:tr w14:paraId="4086B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852" w:type="dxa"/>
            <w:vMerge w:val="continue"/>
            <w:tcBorders>
              <w:top w:val="nil"/>
              <w:left w:val="single" w:color="000000" w:sz="8" w:space="0"/>
              <w:bottom w:val="nil"/>
            </w:tcBorders>
            <w:vAlign w:val="top"/>
          </w:tcPr>
          <w:p w14:paraId="1FB4CCF7">
            <w:pPr>
              <w:pStyle w:val="10"/>
              <w:rPr>
                <w:sz w:val="21"/>
              </w:rPr>
            </w:pPr>
          </w:p>
        </w:tc>
        <w:tc>
          <w:tcPr>
            <w:tcW w:w="2737" w:type="dxa"/>
            <w:vAlign w:val="top"/>
          </w:tcPr>
          <w:p w14:paraId="12366F89">
            <w:pPr>
              <w:pStyle w:val="10"/>
              <w:spacing w:before="44" w:line="181" w:lineRule="exact"/>
              <w:ind w:left="678"/>
            </w:pPr>
            <w:r>
              <w:rPr>
                <w:spacing w:val="2"/>
                <w:position w:val="2"/>
              </w:rPr>
              <w:t>Staphylococcus</w:t>
            </w:r>
            <w:r>
              <w:rPr>
                <w:spacing w:val="-11"/>
                <w:position w:val="2"/>
              </w:rPr>
              <w:t xml:space="preserve"> </w:t>
            </w:r>
            <w:r>
              <w:rPr>
                <w:spacing w:val="2"/>
                <w:position w:val="2"/>
              </w:rPr>
              <w:t>Aureus</w:t>
            </w:r>
          </w:p>
        </w:tc>
        <w:tc>
          <w:tcPr>
            <w:tcW w:w="2388" w:type="dxa"/>
            <w:vMerge w:val="continue"/>
            <w:tcBorders>
              <w:top w:val="nil"/>
              <w:bottom w:val="nil"/>
            </w:tcBorders>
            <w:vAlign w:val="top"/>
          </w:tcPr>
          <w:p w14:paraId="55DDDF03">
            <w:pPr>
              <w:pStyle w:val="10"/>
              <w:rPr>
                <w:sz w:val="21"/>
              </w:rPr>
            </w:pPr>
          </w:p>
        </w:tc>
        <w:tc>
          <w:tcPr>
            <w:tcW w:w="1403" w:type="dxa"/>
            <w:vAlign w:val="top"/>
          </w:tcPr>
          <w:p w14:paraId="2AC4F77A">
            <w:pPr>
              <w:pStyle w:val="10"/>
              <w:spacing w:before="44" w:line="181" w:lineRule="exact"/>
              <w:ind w:left="343"/>
            </w:pPr>
            <w:r>
              <w:rPr>
                <w:spacing w:val="1"/>
                <w:position w:val="1"/>
              </w:rPr>
              <w:t>Not detected</w:t>
            </w:r>
          </w:p>
        </w:tc>
        <w:tc>
          <w:tcPr>
            <w:tcW w:w="1180" w:type="dxa"/>
            <w:vMerge w:val="continue"/>
            <w:tcBorders>
              <w:top w:val="nil"/>
              <w:bottom w:val="nil"/>
              <w:right w:val="single" w:color="000000" w:sz="8" w:space="0"/>
            </w:tcBorders>
            <w:vAlign w:val="top"/>
          </w:tcPr>
          <w:p w14:paraId="67C0AB4B">
            <w:pPr>
              <w:pStyle w:val="10"/>
              <w:rPr>
                <w:sz w:val="21"/>
              </w:rPr>
            </w:pPr>
          </w:p>
        </w:tc>
      </w:tr>
      <w:tr w14:paraId="17B1F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852" w:type="dxa"/>
            <w:vMerge w:val="continue"/>
            <w:tcBorders>
              <w:top w:val="nil"/>
              <w:left w:val="single" w:color="000000" w:sz="8" w:space="0"/>
              <w:bottom w:val="nil"/>
            </w:tcBorders>
            <w:vAlign w:val="top"/>
          </w:tcPr>
          <w:p w14:paraId="1F1D7A38">
            <w:pPr>
              <w:pStyle w:val="10"/>
              <w:rPr>
                <w:sz w:val="21"/>
              </w:rPr>
            </w:pPr>
          </w:p>
        </w:tc>
        <w:tc>
          <w:tcPr>
            <w:tcW w:w="2737" w:type="dxa"/>
            <w:vAlign w:val="top"/>
          </w:tcPr>
          <w:p w14:paraId="335C896B">
            <w:pPr>
              <w:pStyle w:val="10"/>
              <w:spacing w:before="44" w:line="181" w:lineRule="exact"/>
              <w:ind w:left="856"/>
            </w:pPr>
            <w:r>
              <w:rPr>
                <w:spacing w:val="1"/>
                <w:position w:val="1"/>
              </w:rPr>
              <w:t>Candida</w:t>
            </w:r>
            <w:r>
              <w:rPr>
                <w:spacing w:val="5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Albicans</w:t>
            </w:r>
          </w:p>
        </w:tc>
        <w:tc>
          <w:tcPr>
            <w:tcW w:w="2388" w:type="dxa"/>
            <w:vMerge w:val="continue"/>
            <w:tcBorders>
              <w:top w:val="nil"/>
              <w:bottom w:val="nil"/>
            </w:tcBorders>
            <w:vAlign w:val="top"/>
          </w:tcPr>
          <w:p w14:paraId="5092C0A8">
            <w:pPr>
              <w:pStyle w:val="10"/>
              <w:rPr>
                <w:sz w:val="21"/>
              </w:rPr>
            </w:pPr>
          </w:p>
        </w:tc>
        <w:tc>
          <w:tcPr>
            <w:tcW w:w="1403" w:type="dxa"/>
            <w:vAlign w:val="top"/>
          </w:tcPr>
          <w:p w14:paraId="00C40C5D">
            <w:pPr>
              <w:pStyle w:val="10"/>
              <w:spacing w:before="44" w:line="181" w:lineRule="exact"/>
              <w:ind w:left="343"/>
            </w:pPr>
            <w:r>
              <w:rPr>
                <w:spacing w:val="1"/>
                <w:position w:val="1"/>
              </w:rPr>
              <w:t>Not detected</w:t>
            </w:r>
          </w:p>
        </w:tc>
        <w:tc>
          <w:tcPr>
            <w:tcW w:w="1180" w:type="dxa"/>
            <w:vMerge w:val="continue"/>
            <w:tcBorders>
              <w:top w:val="nil"/>
              <w:bottom w:val="nil"/>
              <w:right w:val="single" w:color="000000" w:sz="8" w:space="0"/>
            </w:tcBorders>
            <w:vAlign w:val="top"/>
          </w:tcPr>
          <w:p w14:paraId="659167D0">
            <w:pPr>
              <w:pStyle w:val="10"/>
              <w:rPr>
                <w:sz w:val="21"/>
              </w:rPr>
            </w:pPr>
          </w:p>
        </w:tc>
      </w:tr>
      <w:tr w14:paraId="5D2DE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852" w:type="dxa"/>
            <w:vMerge w:val="continue"/>
            <w:tcBorders>
              <w:top w:val="nil"/>
              <w:left w:val="single" w:color="000000" w:sz="8" w:space="0"/>
            </w:tcBorders>
            <w:vAlign w:val="top"/>
          </w:tcPr>
          <w:p w14:paraId="4E416146">
            <w:pPr>
              <w:pStyle w:val="10"/>
              <w:rPr>
                <w:sz w:val="21"/>
              </w:rPr>
            </w:pPr>
          </w:p>
        </w:tc>
        <w:tc>
          <w:tcPr>
            <w:tcW w:w="2737" w:type="dxa"/>
            <w:vAlign w:val="top"/>
          </w:tcPr>
          <w:p w14:paraId="20E62F3F">
            <w:pPr>
              <w:pStyle w:val="10"/>
              <w:spacing w:before="82" w:line="205" w:lineRule="auto"/>
              <w:ind w:left="1043"/>
            </w:pPr>
            <w:r>
              <w:rPr>
                <w:spacing w:val="1"/>
              </w:rPr>
              <w:t>Salmonella</w:t>
            </w:r>
          </w:p>
        </w:tc>
        <w:tc>
          <w:tcPr>
            <w:tcW w:w="2388" w:type="dxa"/>
            <w:vMerge w:val="continue"/>
            <w:tcBorders>
              <w:top w:val="nil"/>
            </w:tcBorders>
            <w:vAlign w:val="top"/>
          </w:tcPr>
          <w:p w14:paraId="11B89688">
            <w:pPr>
              <w:pStyle w:val="10"/>
              <w:rPr>
                <w:sz w:val="21"/>
              </w:rPr>
            </w:pPr>
          </w:p>
        </w:tc>
        <w:tc>
          <w:tcPr>
            <w:tcW w:w="1403" w:type="dxa"/>
            <w:vAlign w:val="top"/>
          </w:tcPr>
          <w:p w14:paraId="1582B471">
            <w:pPr>
              <w:pStyle w:val="10"/>
              <w:spacing w:before="45" w:line="181" w:lineRule="exact"/>
              <w:ind w:left="343"/>
            </w:pPr>
            <w:r>
              <w:rPr>
                <w:spacing w:val="1"/>
                <w:position w:val="1"/>
              </w:rPr>
              <w:t>Not detected</w:t>
            </w:r>
          </w:p>
        </w:tc>
        <w:tc>
          <w:tcPr>
            <w:tcW w:w="1180" w:type="dxa"/>
            <w:vMerge w:val="continue"/>
            <w:tcBorders>
              <w:top w:val="nil"/>
              <w:right w:val="single" w:color="000000" w:sz="8" w:space="0"/>
            </w:tcBorders>
            <w:vAlign w:val="top"/>
          </w:tcPr>
          <w:p w14:paraId="62536D3D">
            <w:pPr>
              <w:pStyle w:val="10"/>
              <w:rPr>
                <w:sz w:val="21"/>
              </w:rPr>
            </w:pPr>
          </w:p>
        </w:tc>
      </w:tr>
      <w:tr w14:paraId="7AF26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852" w:type="dxa"/>
            <w:vMerge w:val="restart"/>
            <w:tcBorders>
              <w:left w:val="single" w:color="000000" w:sz="8" w:space="0"/>
              <w:bottom w:val="nil"/>
            </w:tcBorders>
            <w:vAlign w:val="top"/>
          </w:tcPr>
          <w:p w14:paraId="61DA86AC">
            <w:pPr>
              <w:pStyle w:val="10"/>
              <w:spacing w:line="346" w:lineRule="auto"/>
              <w:rPr>
                <w:sz w:val="21"/>
              </w:rPr>
            </w:pPr>
          </w:p>
          <w:p w14:paraId="6A0BDD8D">
            <w:pPr>
              <w:pStyle w:val="10"/>
              <w:spacing w:line="347" w:lineRule="auto"/>
              <w:rPr>
                <w:sz w:val="21"/>
              </w:rPr>
            </w:pPr>
          </w:p>
          <w:p w14:paraId="6EBA22B1">
            <w:pPr>
              <w:pStyle w:val="10"/>
              <w:spacing w:before="38" w:line="180" w:lineRule="exact"/>
              <w:ind w:left="34"/>
            </w:pPr>
            <w:r>
              <w:rPr>
                <w:position w:val="2"/>
              </w:rPr>
              <w:t>Heavy</w:t>
            </w:r>
            <w:r>
              <w:rPr>
                <w:spacing w:val="4"/>
                <w:position w:val="2"/>
              </w:rPr>
              <w:t xml:space="preserve"> </w:t>
            </w:r>
            <w:r>
              <w:rPr>
                <w:position w:val="2"/>
              </w:rPr>
              <w:t>Metal</w:t>
            </w:r>
            <w:r>
              <w:rPr>
                <w:spacing w:val="4"/>
                <w:position w:val="2"/>
              </w:rPr>
              <w:t>(</w:t>
            </w:r>
            <w:r>
              <w:rPr>
                <w:position w:val="2"/>
              </w:rPr>
              <w:t>mg</w:t>
            </w:r>
            <w:r>
              <w:rPr>
                <w:spacing w:val="4"/>
                <w:position w:val="2"/>
              </w:rPr>
              <w:t>/</w:t>
            </w:r>
            <w:r>
              <w:rPr>
                <w:position w:val="2"/>
              </w:rPr>
              <w:t>kg</w:t>
            </w:r>
            <w:r>
              <w:rPr>
                <w:spacing w:val="4"/>
                <w:position w:val="2"/>
              </w:rPr>
              <w:t>)</w:t>
            </w:r>
          </w:p>
        </w:tc>
        <w:tc>
          <w:tcPr>
            <w:tcW w:w="2737" w:type="dxa"/>
            <w:vAlign w:val="top"/>
          </w:tcPr>
          <w:p w14:paraId="0F65F1DB">
            <w:pPr>
              <w:pStyle w:val="10"/>
              <w:spacing w:before="46" w:line="181" w:lineRule="exact"/>
              <w:ind w:left="1104"/>
            </w:pPr>
            <w:r>
              <w:rPr>
                <w:position w:val="2"/>
              </w:rPr>
              <w:t>Lead</w:t>
            </w:r>
            <w:r>
              <w:rPr>
                <w:spacing w:val="1"/>
                <w:position w:val="2"/>
              </w:rPr>
              <w:t>(</w:t>
            </w:r>
            <w:r>
              <w:rPr>
                <w:position w:val="2"/>
              </w:rPr>
              <w:t>Pb</w:t>
            </w:r>
            <w:r>
              <w:rPr>
                <w:spacing w:val="1"/>
                <w:position w:val="2"/>
              </w:rPr>
              <w:t>)</w:t>
            </w:r>
          </w:p>
        </w:tc>
        <w:tc>
          <w:tcPr>
            <w:tcW w:w="2388" w:type="dxa"/>
            <w:vAlign w:val="top"/>
          </w:tcPr>
          <w:p w14:paraId="4F3D259E">
            <w:pPr>
              <w:pStyle w:val="10"/>
              <w:spacing w:before="84" w:line="203" w:lineRule="auto"/>
              <w:ind w:left="1091"/>
            </w:pPr>
            <w:r>
              <w:rPr>
                <w:spacing w:val="-1"/>
              </w:rPr>
              <w:t>&lt;10</w:t>
            </w:r>
          </w:p>
        </w:tc>
        <w:tc>
          <w:tcPr>
            <w:tcW w:w="1403" w:type="dxa"/>
            <w:vAlign w:val="top"/>
          </w:tcPr>
          <w:p w14:paraId="5BDE0164">
            <w:pPr>
              <w:pStyle w:val="10"/>
              <w:spacing w:before="83" w:line="204" w:lineRule="auto"/>
              <w:ind w:left="640"/>
            </w:pPr>
            <w:r>
              <w:rPr>
                <w:spacing w:val="-2"/>
              </w:rPr>
              <w:t>&lt;3</w:t>
            </w:r>
          </w:p>
        </w:tc>
        <w:tc>
          <w:tcPr>
            <w:tcW w:w="1180" w:type="dxa"/>
            <w:vMerge w:val="restart"/>
            <w:tcBorders>
              <w:bottom w:val="nil"/>
              <w:right w:val="single" w:color="000000" w:sz="8" w:space="0"/>
            </w:tcBorders>
            <w:vAlign w:val="top"/>
          </w:tcPr>
          <w:p w14:paraId="36DF9CE9">
            <w:pPr>
              <w:pStyle w:val="10"/>
              <w:spacing w:line="243" w:lineRule="auto"/>
              <w:rPr>
                <w:sz w:val="21"/>
              </w:rPr>
            </w:pPr>
          </w:p>
          <w:p w14:paraId="06FE1E13">
            <w:pPr>
              <w:pStyle w:val="10"/>
              <w:spacing w:line="244" w:lineRule="auto"/>
              <w:rPr>
                <w:sz w:val="21"/>
              </w:rPr>
            </w:pPr>
          </w:p>
          <w:p w14:paraId="0043CF98">
            <w:pPr>
              <w:pStyle w:val="10"/>
              <w:spacing w:line="244" w:lineRule="auto"/>
              <w:rPr>
                <w:sz w:val="21"/>
              </w:rPr>
            </w:pPr>
          </w:p>
          <w:p w14:paraId="7AC3CBF6">
            <w:pPr>
              <w:pStyle w:val="10"/>
              <w:spacing w:before="37" w:line="203" w:lineRule="auto"/>
              <w:ind w:left="459"/>
            </w:pPr>
            <w:r>
              <w:t>Pass</w:t>
            </w:r>
          </w:p>
        </w:tc>
      </w:tr>
      <w:tr w14:paraId="1CE1A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852" w:type="dxa"/>
            <w:vMerge w:val="continue"/>
            <w:tcBorders>
              <w:top w:val="nil"/>
              <w:left w:val="single" w:color="000000" w:sz="8" w:space="0"/>
              <w:bottom w:val="nil"/>
            </w:tcBorders>
            <w:vAlign w:val="top"/>
          </w:tcPr>
          <w:p w14:paraId="5A8483C6">
            <w:pPr>
              <w:pStyle w:val="10"/>
              <w:rPr>
                <w:sz w:val="21"/>
              </w:rPr>
            </w:pPr>
          </w:p>
        </w:tc>
        <w:tc>
          <w:tcPr>
            <w:tcW w:w="2737" w:type="dxa"/>
            <w:vAlign w:val="top"/>
          </w:tcPr>
          <w:p w14:paraId="10203F29">
            <w:pPr>
              <w:pStyle w:val="10"/>
              <w:spacing w:before="47" w:line="181" w:lineRule="exact"/>
              <w:ind w:left="1020"/>
            </w:pPr>
            <w:r>
              <w:rPr>
                <w:position w:val="2"/>
              </w:rPr>
              <w:t>Arsenic</w:t>
            </w:r>
            <w:r>
              <w:rPr>
                <w:spacing w:val="9"/>
                <w:position w:val="2"/>
              </w:rPr>
              <w:t>(</w:t>
            </w:r>
            <w:r>
              <w:rPr>
                <w:position w:val="2"/>
              </w:rPr>
              <w:t>As</w:t>
            </w:r>
            <w:r>
              <w:rPr>
                <w:spacing w:val="9"/>
                <w:position w:val="2"/>
              </w:rPr>
              <w:t>)</w:t>
            </w:r>
          </w:p>
        </w:tc>
        <w:tc>
          <w:tcPr>
            <w:tcW w:w="2388" w:type="dxa"/>
            <w:vAlign w:val="top"/>
          </w:tcPr>
          <w:p w14:paraId="31EE2A67">
            <w:pPr>
              <w:pStyle w:val="10"/>
              <w:spacing w:before="84" w:line="204" w:lineRule="auto"/>
              <w:ind w:left="1129"/>
            </w:pPr>
            <w:r>
              <w:rPr>
                <w:spacing w:val="-2"/>
              </w:rPr>
              <w:t>&lt;2</w:t>
            </w:r>
          </w:p>
        </w:tc>
        <w:tc>
          <w:tcPr>
            <w:tcW w:w="1403" w:type="dxa"/>
            <w:vAlign w:val="top"/>
          </w:tcPr>
          <w:p w14:paraId="181C07E2">
            <w:pPr>
              <w:pStyle w:val="10"/>
              <w:spacing w:before="85" w:line="203" w:lineRule="auto"/>
              <w:ind w:left="584"/>
            </w:pPr>
            <w:r>
              <w:t>&lt;0.1</w:t>
            </w:r>
          </w:p>
        </w:tc>
        <w:tc>
          <w:tcPr>
            <w:tcW w:w="1180" w:type="dxa"/>
            <w:vMerge w:val="continue"/>
            <w:tcBorders>
              <w:top w:val="nil"/>
              <w:bottom w:val="nil"/>
              <w:right w:val="single" w:color="000000" w:sz="8" w:space="0"/>
            </w:tcBorders>
            <w:vAlign w:val="top"/>
          </w:tcPr>
          <w:p w14:paraId="18A0A36E">
            <w:pPr>
              <w:pStyle w:val="10"/>
              <w:rPr>
                <w:sz w:val="21"/>
              </w:rPr>
            </w:pPr>
          </w:p>
        </w:tc>
      </w:tr>
      <w:tr w14:paraId="449CB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852" w:type="dxa"/>
            <w:vMerge w:val="continue"/>
            <w:tcBorders>
              <w:top w:val="nil"/>
              <w:left w:val="single" w:color="000000" w:sz="8" w:space="0"/>
              <w:bottom w:val="nil"/>
            </w:tcBorders>
            <w:vAlign w:val="top"/>
          </w:tcPr>
          <w:p w14:paraId="0796FB30">
            <w:pPr>
              <w:pStyle w:val="10"/>
              <w:rPr>
                <w:sz w:val="21"/>
              </w:rPr>
            </w:pPr>
          </w:p>
        </w:tc>
        <w:tc>
          <w:tcPr>
            <w:tcW w:w="2737" w:type="dxa"/>
            <w:vAlign w:val="top"/>
          </w:tcPr>
          <w:p w14:paraId="35DBB77E">
            <w:pPr>
              <w:pStyle w:val="10"/>
              <w:spacing w:before="48" w:line="181" w:lineRule="exact"/>
              <w:ind w:left="1006"/>
            </w:pPr>
            <w:r>
              <w:rPr>
                <w:position w:val="2"/>
              </w:rPr>
              <w:t>Mercury</w:t>
            </w:r>
            <w:r>
              <w:rPr>
                <w:spacing w:val="4"/>
                <w:position w:val="2"/>
              </w:rPr>
              <w:t>(</w:t>
            </w:r>
            <w:r>
              <w:rPr>
                <w:position w:val="2"/>
              </w:rPr>
              <w:t>Hg</w:t>
            </w:r>
            <w:r>
              <w:rPr>
                <w:spacing w:val="4"/>
                <w:position w:val="2"/>
              </w:rPr>
              <w:t>)</w:t>
            </w:r>
          </w:p>
        </w:tc>
        <w:tc>
          <w:tcPr>
            <w:tcW w:w="2388" w:type="dxa"/>
            <w:vAlign w:val="top"/>
          </w:tcPr>
          <w:p w14:paraId="24768B4C">
            <w:pPr>
              <w:pStyle w:val="10"/>
              <w:spacing w:before="85" w:line="204" w:lineRule="auto"/>
              <w:ind w:left="1129"/>
            </w:pPr>
            <w:r>
              <w:rPr>
                <w:spacing w:val="-2"/>
              </w:rPr>
              <w:t>&lt;1</w:t>
            </w:r>
          </w:p>
        </w:tc>
        <w:tc>
          <w:tcPr>
            <w:tcW w:w="1403" w:type="dxa"/>
            <w:vAlign w:val="top"/>
          </w:tcPr>
          <w:p w14:paraId="563765FD">
            <w:pPr>
              <w:pStyle w:val="10"/>
              <w:spacing w:before="86" w:line="203" w:lineRule="auto"/>
              <w:ind w:left="584"/>
            </w:pPr>
            <w:r>
              <w:t>&lt;0.1</w:t>
            </w:r>
          </w:p>
        </w:tc>
        <w:tc>
          <w:tcPr>
            <w:tcW w:w="1180" w:type="dxa"/>
            <w:vMerge w:val="continue"/>
            <w:tcBorders>
              <w:top w:val="nil"/>
              <w:bottom w:val="nil"/>
              <w:right w:val="single" w:color="000000" w:sz="8" w:space="0"/>
            </w:tcBorders>
            <w:vAlign w:val="top"/>
          </w:tcPr>
          <w:p w14:paraId="0ABA014D">
            <w:pPr>
              <w:pStyle w:val="10"/>
              <w:rPr>
                <w:sz w:val="21"/>
              </w:rPr>
            </w:pPr>
          </w:p>
        </w:tc>
      </w:tr>
      <w:tr w14:paraId="7E7AA4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852" w:type="dxa"/>
            <w:vMerge w:val="continue"/>
            <w:tcBorders>
              <w:top w:val="nil"/>
              <w:left w:val="single" w:color="000000" w:sz="8" w:space="0"/>
              <w:bottom w:val="nil"/>
            </w:tcBorders>
            <w:vAlign w:val="top"/>
          </w:tcPr>
          <w:p w14:paraId="07992424">
            <w:pPr>
              <w:pStyle w:val="10"/>
              <w:rPr>
                <w:sz w:val="21"/>
              </w:rPr>
            </w:pPr>
          </w:p>
        </w:tc>
        <w:tc>
          <w:tcPr>
            <w:tcW w:w="2737" w:type="dxa"/>
            <w:vAlign w:val="top"/>
          </w:tcPr>
          <w:p w14:paraId="29BCB561">
            <w:pPr>
              <w:pStyle w:val="10"/>
              <w:spacing w:before="48" w:line="181" w:lineRule="exact"/>
              <w:ind w:left="964"/>
            </w:pPr>
            <w:r>
              <w:rPr>
                <w:position w:val="2"/>
              </w:rPr>
              <w:t>Antimony</w:t>
            </w:r>
            <w:r>
              <w:rPr>
                <w:spacing w:val="9"/>
                <w:position w:val="2"/>
              </w:rPr>
              <w:t>(</w:t>
            </w:r>
            <w:r>
              <w:rPr>
                <w:position w:val="2"/>
              </w:rPr>
              <w:t>Sb</w:t>
            </w:r>
            <w:r>
              <w:rPr>
                <w:spacing w:val="9"/>
                <w:position w:val="2"/>
              </w:rPr>
              <w:t>)</w:t>
            </w:r>
          </w:p>
        </w:tc>
        <w:tc>
          <w:tcPr>
            <w:tcW w:w="2388" w:type="dxa"/>
            <w:vAlign w:val="top"/>
          </w:tcPr>
          <w:p w14:paraId="0DDFF15D">
            <w:pPr>
              <w:pStyle w:val="10"/>
              <w:spacing w:before="86" w:line="203" w:lineRule="auto"/>
              <w:ind w:left="1091"/>
            </w:pPr>
            <w:r>
              <w:rPr>
                <w:spacing w:val="-1"/>
              </w:rPr>
              <w:t>&lt;10</w:t>
            </w:r>
          </w:p>
        </w:tc>
        <w:tc>
          <w:tcPr>
            <w:tcW w:w="1403" w:type="dxa"/>
            <w:vAlign w:val="top"/>
          </w:tcPr>
          <w:p w14:paraId="6A5D772C">
            <w:pPr>
              <w:pStyle w:val="10"/>
              <w:spacing w:before="85" w:line="204" w:lineRule="auto"/>
              <w:ind w:left="640"/>
            </w:pPr>
            <w:r>
              <w:rPr>
                <w:spacing w:val="-2"/>
              </w:rPr>
              <w:t>&lt;1</w:t>
            </w:r>
          </w:p>
        </w:tc>
        <w:tc>
          <w:tcPr>
            <w:tcW w:w="1180" w:type="dxa"/>
            <w:vMerge w:val="continue"/>
            <w:tcBorders>
              <w:top w:val="nil"/>
              <w:bottom w:val="nil"/>
              <w:right w:val="single" w:color="000000" w:sz="8" w:space="0"/>
            </w:tcBorders>
            <w:vAlign w:val="top"/>
          </w:tcPr>
          <w:p w14:paraId="6F9A13ED">
            <w:pPr>
              <w:pStyle w:val="10"/>
              <w:rPr>
                <w:sz w:val="21"/>
              </w:rPr>
            </w:pPr>
          </w:p>
        </w:tc>
      </w:tr>
      <w:tr w14:paraId="255BAA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852" w:type="dxa"/>
            <w:vMerge w:val="continue"/>
            <w:tcBorders>
              <w:top w:val="nil"/>
              <w:left w:val="single" w:color="000000" w:sz="8" w:space="0"/>
              <w:bottom w:val="nil"/>
            </w:tcBorders>
            <w:vAlign w:val="top"/>
          </w:tcPr>
          <w:p w14:paraId="36F7DB33">
            <w:pPr>
              <w:pStyle w:val="10"/>
              <w:rPr>
                <w:sz w:val="21"/>
              </w:rPr>
            </w:pPr>
          </w:p>
        </w:tc>
        <w:tc>
          <w:tcPr>
            <w:tcW w:w="2737" w:type="dxa"/>
            <w:vAlign w:val="top"/>
          </w:tcPr>
          <w:p w14:paraId="5EA37999">
            <w:pPr>
              <w:pStyle w:val="10"/>
              <w:spacing w:before="49" w:line="181" w:lineRule="exact"/>
              <w:ind w:left="954"/>
            </w:pPr>
            <w:r>
              <w:rPr>
                <w:position w:val="2"/>
              </w:rPr>
              <w:t>Cadmium</w:t>
            </w:r>
            <w:r>
              <w:rPr>
                <w:spacing w:val="10"/>
                <w:position w:val="2"/>
              </w:rPr>
              <w:t>(</w:t>
            </w:r>
            <w:r>
              <w:rPr>
                <w:position w:val="2"/>
              </w:rPr>
              <w:t>Cd</w:t>
            </w:r>
            <w:r>
              <w:rPr>
                <w:spacing w:val="10"/>
                <w:position w:val="2"/>
              </w:rPr>
              <w:t>)</w:t>
            </w:r>
          </w:p>
        </w:tc>
        <w:tc>
          <w:tcPr>
            <w:tcW w:w="2388" w:type="dxa"/>
            <w:vAlign w:val="top"/>
          </w:tcPr>
          <w:p w14:paraId="2050DAFF">
            <w:pPr>
              <w:pStyle w:val="10"/>
              <w:spacing w:before="88" w:line="201" w:lineRule="auto"/>
              <w:ind w:left="1129"/>
            </w:pPr>
            <w:r>
              <w:rPr>
                <w:spacing w:val="-2"/>
              </w:rPr>
              <w:t>&lt;5</w:t>
            </w:r>
          </w:p>
        </w:tc>
        <w:tc>
          <w:tcPr>
            <w:tcW w:w="1403" w:type="dxa"/>
            <w:vAlign w:val="top"/>
          </w:tcPr>
          <w:p w14:paraId="257AC898">
            <w:pPr>
              <w:pStyle w:val="10"/>
              <w:spacing w:before="87" w:line="203" w:lineRule="auto"/>
              <w:ind w:left="584"/>
            </w:pPr>
            <w:r>
              <w:t>&lt;0.5</w:t>
            </w:r>
          </w:p>
        </w:tc>
        <w:tc>
          <w:tcPr>
            <w:tcW w:w="1180" w:type="dxa"/>
            <w:vMerge w:val="continue"/>
            <w:tcBorders>
              <w:top w:val="nil"/>
              <w:bottom w:val="nil"/>
              <w:right w:val="single" w:color="000000" w:sz="8" w:space="0"/>
            </w:tcBorders>
            <w:vAlign w:val="top"/>
          </w:tcPr>
          <w:p w14:paraId="42004BEB">
            <w:pPr>
              <w:pStyle w:val="10"/>
              <w:rPr>
                <w:sz w:val="21"/>
              </w:rPr>
            </w:pPr>
          </w:p>
        </w:tc>
      </w:tr>
      <w:tr w14:paraId="1CFFC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852" w:type="dxa"/>
            <w:vMerge w:val="continue"/>
            <w:tcBorders>
              <w:top w:val="nil"/>
              <w:left w:val="single" w:color="000000" w:sz="8" w:space="0"/>
            </w:tcBorders>
            <w:vAlign w:val="top"/>
          </w:tcPr>
          <w:p w14:paraId="6AC43C5C">
            <w:pPr>
              <w:pStyle w:val="10"/>
              <w:rPr>
                <w:sz w:val="21"/>
              </w:rPr>
            </w:pPr>
          </w:p>
        </w:tc>
        <w:tc>
          <w:tcPr>
            <w:tcW w:w="2737" w:type="dxa"/>
            <w:vAlign w:val="top"/>
          </w:tcPr>
          <w:p w14:paraId="2FF66146">
            <w:pPr>
              <w:pStyle w:val="10"/>
              <w:spacing w:before="50" w:line="181" w:lineRule="exact"/>
              <w:ind w:left="1088"/>
            </w:pPr>
            <w:r>
              <w:rPr>
                <w:position w:val="2"/>
              </w:rPr>
              <w:t>Nickel</w:t>
            </w:r>
            <w:r>
              <w:rPr>
                <w:spacing w:val="2"/>
                <w:position w:val="2"/>
              </w:rPr>
              <w:t>(</w:t>
            </w:r>
            <w:r>
              <w:rPr>
                <w:position w:val="2"/>
              </w:rPr>
              <w:t>Ni</w:t>
            </w:r>
            <w:r>
              <w:rPr>
                <w:spacing w:val="2"/>
                <w:position w:val="2"/>
              </w:rPr>
              <w:t>)</w:t>
            </w:r>
          </w:p>
        </w:tc>
        <w:tc>
          <w:tcPr>
            <w:tcW w:w="2388" w:type="dxa"/>
            <w:vAlign w:val="top"/>
          </w:tcPr>
          <w:p w14:paraId="0680DAF7">
            <w:pPr>
              <w:pStyle w:val="10"/>
              <w:spacing w:before="88" w:line="203" w:lineRule="auto"/>
              <w:ind w:left="1091"/>
            </w:pPr>
            <w:r>
              <w:rPr>
                <w:spacing w:val="-1"/>
              </w:rPr>
              <w:t>&lt;10</w:t>
            </w:r>
          </w:p>
        </w:tc>
        <w:tc>
          <w:tcPr>
            <w:tcW w:w="1403" w:type="dxa"/>
            <w:vAlign w:val="top"/>
          </w:tcPr>
          <w:p w14:paraId="4F765589">
            <w:pPr>
              <w:pStyle w:val="10"/>
              <w:spacing w:before="88" w:line="204" w:lineRule="auto"/>
              <w:ind w:left="640"/>
            </w:pPr>
            <w:r>
              <w:rPr>
                <w:spacing w:val="-2"/>
              </w:rPr>
              <w:t>&lt;2</w:t>
            </w:r>
          </w:p>
        </w:tc>
        <w:tc>
          <w:tcPr>
            <w:tcW w:w="1180" w:type="dxa"/>
            <w:vMerge w:val="continue"/>
            <w:tcBorders>
              <w:top w:val="nil"/>
              <w:right w:val="single" w:color="000000" w:sz="8" w:space="0"/>
            </w:tcBorders>
            <w:vAlign w:val="top"/>
          </w:tcPr>
          <w:p w14:paraId="5AE1C300">
            <w:pPr>
              <w:pStyle w:val="10"/>
              <w:rPr>
                <w:sz w:val="21"/>
              </w:rPr>
            </w:pPr>
          </w:p>
        </w:tc>
      </w:tr>
      <w:tr w14:paraId="65458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852" w:type="dxa"/>
            <w:vMerge w:val="restart"/>
            <w:tcBorders>
              <w:left w:val="single" w:color="000000" w:sz="8" w:space="0"/>
              <w:bottom w:val="nil"/>
            </w:tcBorders>
            <w:vAlign w:val="top"/>
          </w:tcPr>
          <w:p w14:paraId="350DE5AC">
            <w:pPr>
              <w:pStyle w:val="10"/>
              <w:spacing w:line="281" w:lineRule="auto"/>
              <w:rPr>
                <w:sz w:val="21"/>
              </w:rPr>
            </w:pPr>
          </w:p>
          <w:p w14:paraId="078DACF8">
            <w:pPr>
              <w:pStyle w:val="10"/>
              <w:spacing w:line="281" w:lineRule="auto"/>
              <w:rPr>
                <w:sz w:val="21"/>
              </w:rPr>
            </w:pPr>
          </w:p>
          <w:p w14:paraId="07F1505F">
            <w:pPr>
              <w:pStyle w:val="10"/>
              <w:spacing w:before="37" w:line="181" w:lineRule="exact"/>
              <w:ind w:left="29"/>
            </w:pPr>
            <w:r>
              <w:rPr>
                <w:spacing w:val="1"/>
                <w:position w:val="1"/>
              </w:rPr>
              <w:t>Other</w:t>
            </w:r>
          </w:p>
        </w:tc>
        <w:tc>
          <w:tcPr>
            <w:tcW w:w="2737" w:type="dxa"/>
            <w:vAlign w:val="top"/>
          </w:tcPr>
          <w:p w14:paraId="5F288DC3">
            <w:pPr>
              <w:pStyle w:val="10"/>
              <w:spacing w:before="51" w:line="181" w:lineRule="exact"/>
              <w:ind w:left="690"/>
            </w:pPr>
            <w:r>
              <w:rPr>
                <w:spacing w:val="1"/>
                <w:position w:val="2"/>
              </w:rPr>
              <w:t>High Temperature</w:t>
            </w:r>
            <w:r>
              <w:rPr>
                <w:spacing w:val="11"/>
                <w:position w:val="2"/>
              </w:rPr>
              <w:t xml:space="preserve"> </w:t>
            </w:r>
            <w:r>
              <w:rPr>
                <w:spacing w:val="1"/>
                <w:position w:val="2"/>
              </w:rPr>
              <w:t>Test</w:t>
            </w:r>
          </w:p>
        </w:tc>
        <w:tc>
          <w:tcPr>
            <w:tcW w:w="2388" w:type="dxa"/>
            <w:vAlign w:val="top"/>
          </w:tcPr>
          <w:p w14:paraId="7E07E4AF">
            <w:pPr>
              <w:pStyle w:val="10"/>
              <w:spacing w:before="89" w:line="205" w:lineRule="auto"/>
              <w:ind w:left="902"/>
            </w:pPr>
            <w:r>
              <w:rPr>
                <w:spacing w:val="1"/>
              </w:rPr>
              <w:t>Unchange</w:t>
            </w:r>
          </w:p>
        </w:tc>
        <w:tc>
          <w:tcPr>
            <w:tcW w:w="1403" w:type="dxa"/>
            <w:vAlign w:val="top"/>
          </w:tcPr>
          <w:p w14:paraId="7681B2A5">
            <w:pPr>
              <w:pStyle w:val="10"/>
              <w:spacing w:before="87" w:line="206" w:lineRule="auto"/>
              <w:ind w:left="472"/>
            </w:pPr>
            <w:r>
              <w:rPr>
                <w:spacing w:val="2"/>
              </w:rPr>
              <w:t>conform</w:t>
            </w:r>
          </w:p>
        </w:tc>
        <w:tc>
          <w:tcPr>
            <w:tcW w:w="1180" w:type="dxa"/>
            <w:vMerge w:val="restart"/>
            <w:tcBorders>
              <w:bottom w:val="nil"/>
              <w:right w:val="single" w:color="000000" w:sz="8" w:space="0"/>
            </w:tcBorders>
            <w:vAlign w:val="top"/>
          </w:tcPr>
          <w:p w14:paraId="713BF01A">
            <w:pPr>
              <w:pStyle w:val="10"/>
              <w:spacing w:line="299" w:lineRule="auto"/>
              <w:rPr>
                <w:sz w:val="21"/>
              </w:rPr>
            </w:pPr>
          </w:p>
          <w:p w14:paraId="295CC46A">
            <w:pPr>
              <w:pStyle w:val="10"/>
              <w:spacing w:line="300" w:lineRule="auto"/>
              <w:rPr>
                <w:sz w:val="21"/>
              </w:rPr>
            </w:pPr>
          </w:p>
          <w:p w14:paraId="57770CF2">
            <w:pPr>
              <w:pStyle w:val="10"/>
              <w:spacing w:before="38" w:line="203" w:lineRule="auto"/>
              <w:ind w:left="459"/>
            </w:pPr>
            <w:r>
              <w:t>Pass</w:t>
            </w:r>
          </w:p>
        </w:tc>
      </w:tr>
      <w:tr w14:paraId="0509A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852" w:type="dxa"/>
            <w:vMerge w:val="continue"/>
            <w:tcBorders>
              <w:top w:val="nil"/>
              <w:left w:val="single" w:color="000000" w:sz="8" w:space="0"/>
              <w:bottom w:val="nil"/>
            </w:tcBorders>
            <w:vAlign w:val="top"/>
          </w:tcPr>
          <w:p w14:paraId="1C5886AE">
            <w:pPr>
              <w:pStyle w:val="10"/>
              <w:rPr>
                <w:sz w:val="21"/>
              </w:rPr>
            </w:pPr>
          </w:p>
        </w:tc>
        <w:tc>
          <w:tcPr>
            <w:tcW w:w="2737" w:type="dxa"/>
            <w:vAlign w:val="top"/>
          </w:tcPr>
          <w:p w14:paraId="2A201B02">
            <w:pPr>
              <w:pStyle w:val="10"/>
              <w:spacing w:before="52" w:line="181" w:lineRule="exact"/>
              <w:ind w:left="704"/>
            </w:pPr>
            <w:r>
              <w:rPr>
                <w:spacing w:val="2"/>
                <w:position w:val="2"/>
              </w:rPr>
              <w:t>Low Temperature</w:t>
            </w:r>
            <w:r>
              <w:rPr>
                <w:spacing w:val="-9"/>
                <w:position w:val="2"/>
              </w:rPr>
              <w:t xml:space="preserve"> </w:t>
            </w:r>
            <w:r>
              <w:rPr>
                <w:spacing w:val="2"/>
                <w:position w:val="2"/>
              </w:rPr>
              <w:t>Test</w:t>
            </w:r>
          </w:p>
        </w:tc>
        <w:tc>
          <w:tcPr>
            <w:tcW w:w="2388" w:type="dxa"/>
            <w:vAlign w:val="top"/>
          </w:tcPr>
          <w:p w14:paraId="4E0DED42">
            <w:pPr>
              <w:pStyle w:val="10"/>
              <w:spacing w:before="90" w:line="205" w:lineRule="auto"/>
              <w:ind w:left="902"/>
            </w:pPr>
            <w:r>
              <w:rPr>
                <w:spacing w:val="1"/>
              </w:rPr>
              <w:t>Unchange</w:t>
            </w:r>
          </w:p>
        </w:tc>
        <w:tc>
          <w:tcPr>
            <w:tcW w:w="1403" w:type="dxa"/>
            <w:vAlign w:val="top"/>
          </w:tcPr>
          <w:p w14:paraId="385ADE49">
            <w:pPr>
              <w:pStyle w:val="10"/>
              <w:spacing w:before="88" w:line="206" w:lineRule="auto"/>
              <w:ind w:left="472"/>
            </w:pPr>
            <w:r>
              <w:rPr>
                <w:spacing w:val="2"/>
              </w:rPr>
              <w:t>conform</w:t>
            </w:r>
          </w:p>
        </w:tc>
        <w:tc>
          <w:tcPr>
            <w:tcW w:w="1180" w:type="dxa"/>
            <w:vMerge w:val="continue"/>
            <w:tcBorders>
              <w:top w:val="nil"/>
              <w:bottom w:val="nil"/>
              <w:right w:val="single" w:color="000000" w:sz="8" w:space="0"/>
            </w:tcBorders>
            <w:vAlign w:val="top"/>
          </w:tcPr>
          <w:p w14:paraId="79D5938E">
            <w:pPr>
              <w:pStyle w:val="10"/>
              <w:rPr>
                <w:sz w:val="21"/>
              </w:rPr>
            </w:pPr>
          </w:p>
        </w:tc>
      </w:tr>
      <w:tr w14:paraId="46519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852" w:type="dxa"/>
            <w:vMerge w:val="continue"/>
            <w:tcBorders>
              <w:top w:val="nil"/>
              <w:left w:val="single" w:color="000000" w:sz="8" w:space="0"/>
              <w:bottom w:val="nil"/>
            </w:tcBorders>
            <w:vAlign w:val="top"/>
          </w:tcPr>
          <w:p w14:paraId="6A51683E">
            <w:pPr>
              <w:pStyle w:val="10"/>
              <w:rPr>
                <w:sz w:val="21"/>
              </w:rPr>
            </w:pPr>
          </w:p>
        </w:tc>
        <w:tc>
          <w:tcPr>
            <w:tcW w:w="2737" w:type="dxa"/>
            <w:vAlign w:val="top"/>
          </w:tcPr>
          <w:p w14:paraId="043C2B8C">
            <w:pPr>
              <w:pStyle w:val="10"/>
              <w:spacing w:before="52" w:line="181" w:lineRule="exact"/>
              <w:ind w:left="1223"/>
            </w:pPr>
            <w:r>
              <w:rPr>
                <w:spacing w:val="1"/>
                <w:position w:val="1"/>
              </w:rPr>
              <w:t>Odor</w:t>
            </w:r>
          </w:p>
        </w:tc>
        <w:tc>
          <w:tcPr>
            <w:tcW w:w="2388" w:type="dxa"/>
            <w:vAlign w:val="top"/>
          </w:tcPr>
          <w:p w14:paraId="25B02813">
            <w:pPr>
              <w:pStyle w:val="10"/>
              <w:spacing w:before="89" w:line="205" w:lineRule="auto"/>
              <w:ind w:left="902"/>
            </w:pPr>
            <w:r>
              <w:rPr>
                <w:spacing w:val="1"/>
              </w:rPr>
              <w:t>Unchange</w:t>
            </w:r>
          </w:p>
        </w:tc>
        <w:tc>
          <w:tcPr>
            <w:tcW w:w="1403" w:type="dxa"/>
            <w:vAlign w:val="top"/>
          </w:tcPr>
          <w:p w14:paraId="4BC0DA5A">
            <w:pPr>
              <w:pStyle w:val="10"/>
              <w:spacing w:before="88" w:line="206" w:lineRule="auto"/>
              <w:ind w:left="472"/>
            </w:pPr>
            <w:r>
              <w:rPr>
                <w:spacing w:val="2"/>
              </w:rPr>
              <w:t>conform</w:t>
            </w:r>
          </w:p>
        </w:tc>
        <w:tc>
          <w:tcPr>
            <w:tcW w:w="1180" w:type="dxa"/>
            <w:vMerge w:val="continue"/>
            <w:tcBorders>
              <w:top w:val="nil"/>
              <w:bottom w:val="nil"/>
              <w:right w:val="single" w:color="000000" w:sz="8" w:space="0"/>
            </w:tcBorders>
            <w:vAlign w:val="top"/>
          </w:tcPr>
          <w:p w14:paraId="4411357D">
            <w:pPr>
              <w:pStyle w:val="10"/>
              <w:rPr>
                <w:sz w:val="21"/>
              </w:rPr>
            </w:pPr>
          </w:p>
        </w:tc>
      </w:tr>
      <w:tr w14:paraId="460120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852" w:type="dxa"/>
            <w:vMerge w:val="continue"/>
            <w:tcBorders>
              <w:top w:val="nil"/>
              <w:left w:val="single" w:color="000000" w:sz="8" w:space="0"/>
              <w:bottom w:val="nil"/>
            </w:tcBorders>
            <w:vAlign w:val="top"/>
          </w:tcPr>
          <w:p w14:paraId="6629E0FE">
            <w:pPr>
              <w:pStyle w:val="10"/>
              <w:rPr>
                <w:sz w:val="21"/>
              </w:rPr>
            </w:pPr>
          </w:p>
        </w:tc>
        <w:tc>
          <w:tcPr>
            <w:tcW w:w="2737" w:type="dxa"/>
            <w:vAlign w:val="top"/>
          </w:tcPr>
          <w:p w14:paraId="01CBD6B5">
            <w:pPr>
              <w:pStyle w:val="10"/>
              <w:spacing w:before="90" w:line="205" w:lineRule="auto"/>
              <w:ind w:left="1008"/>
            </w:pPr>
            <w:r>
              <w:rPr>
                <w:spacing w:val="2"/>
              </w:rPr>
              <w:t>Appearance</w:t>
            </w:r>
          </w:p>
        </w:tc>
        <w:tc>
          <w:tcPr>
            <w:tcW w:w="2388" w:type="dxa"/>
            <w:vAlign w:val="top"/>
          </w:tcPr>
          <w:p w14:paraId="0151699C">
            <w:pPr>
              <w:pStyle w:val="10"/>
              <w:spacing w:before="90" w:line="205" w:lineRule="auto"/>
              <w:ind w:left="902"/>
            </w:pPr>
            <w:r>
              <w:rPr>
                <w:spacing w:val="1"/>
              </w:rPr>
              <w:t>Unchange</w:t>
            </w:r>
          </w:p>
        </w:tc>
        <w:tc>
          <w:tcPr>
            <w:tcW w:w="1403" w:type="dxa"/>
            <w:vAlign w:val="top"/>
          </w:tcPr>
          <w:p w14:paraId="49C62590">
            <w:pPr>
              <w:pStyle w:val="10"/>
              <w:spacing w:before="89" w:line="206" w:lineRule="auto"/>
              <w:ind w:left="472"/>
            </w:pPr>
            <w:r>
              <w:rPr>
                <w:spacing w:val="2"/>
              </w:rPr>
              <w:t>conform</w:t>
            </w:r>
          </w:p>
        </w:tc>
        <w:tc>
          <w:tcPr>
            <w:tcW w:w="1180" w:type="dxa"/>
            <w:vMerge w:val="continue"/>
            <w:tcBorders>
              <w:top w:val="nil"/>
              <w:bottom w:val="nil"/>
              <w:right w:val="single" w:color="000000" w:sz="8" w:space="0"/>
            </w:tcBorders>
            <w:vAlign w:val="top"/>
          </w:tcPr>
          <w:p w14:paraId="77BA53C9">
            <w:pPr>
              <w:pStyle w:val="10"/>
              <w:rPr>
                <w:sz w:val="21"/>
              </w:rPr>
            </w:pPr>
          </w:p>
        </w:tc>
      </w:tr>
      <w:tr w14:paraId="620366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852" w:type="dxa"/>
            <w:vMerge w:val="continue"/>
            <w:tcBorders>
              <w:top w:val="nil"/>
              <w:left w:val="single" w:color="000000" w:sz="8" w:space="0"/>
            </w:tcBorders>
            <w:vAlign w:val="top"/>
          </w:tcPr>
          <w:p w14:paraId="56AE9D95">
            <w:pPr>
              <w:pStyle w:val="10"/>
              <w:rPr>
                <w:sz w:val="21"/>
              </w:rPr>
            </w:pPr>
          </w:p>
        </w:tc>
        <w:tc>
          <w:tcPr>
            <w:tcW w:w="2737" w:type="dxa"/>
            <w:vAlign w:val="top"/>
          </w:tcPr>
          <w:p w14:paraId="547CC2A3">
            <w:pPr>
              <w:pStyle w:val="10"/>
              <w:spacing w:before="54" w:line="181" w:lineRule="exact"/>
              <w:ind w:left="938"/>
            </w:pPr>
            <w:r>
              <w:rPr>
                <w:spacing w:val="1"/>
                <w:position w:val="2"/>
              </w:rPr>
              <w:t>softening point</w:t>
            </w:r>
          </w:p>
        </w:tc>
        <w:tc>
          <w:tcPr>
            <w:tcW w:w="2388" w:type="dxa"/>
            <w:vAlign w:val="top"/>
          </w:tcPr>
          <w:p w14:paraId="62E35FE6">
            <w:pPr>
              <w:pStyle w:val="10"/>
              <w:spacing w:before="54" w:line="181" w:lineRule="exact"/>
              <w:ind w:left="1177"/>
            </w:pPr>
            <w:r>
              <w:rPr>
                <w:spacing w:val="1"/>
                <w:position w:val="1"/>
              </w:rPr>
              <w:t>/</w:t>
            </w:r>
          </w:p>
        </w:tc>
        <w:tc>
          <w:tcPr>
            <w:tcW w:w="1403" w:type="dxa"/>
            <w:vAlign w:val="top"/>
          </w:tcPr>
          <w:p w14:paraId="1BE72A9C">
            <w:pPr>
              <w:pStyle w:val="10"/>
              <w:spacing w:before="54" w:line="181" w:lineRule="exact"/>
              <w:ind w:left="690"/>
            </w:pPr>
            <w:r>
              <w:rPr>
                <w:spacing w:val="1"/>
                <w:position w:val="1"/>
              </w:rPr>
              <w:t>/</w:t>
            </w:r>
          </w:p>
        </w:tc>
        <w:tc>
          <w:tcPr>
            <w:tcW w:w="1180" w:type="dxa"/>
            <w:vMerge w:val="continue"/>
            <w:tcBorders>
              <w:top w:val="nil"/>
              <w:right w:val="single" w:color="000000" w:sz="8" w:space="0"/>
            </w:tcBorders>
            <w:vAlign w:val="top"/>
          </w:tcPr>
          <w:p w14:paraId="275D19C6">
            <w:pPr>
              <w:pStyle w:val="10"/>
              <w:rPr>
                <w:sz w:val="21"/>
              </w:rPr>
            </w:pPr>
          </w:p>
        </w:tc>
      </w:tr>
      <w:tr w14:paraId="613B9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852" w:type="dxa"/>
            <w:vMerge w:val="restart"/>
            <w:tcBorders>
              <w:left w:val="single" w:color="000000" w:sz="8" w:space="0"/>
              <w:bottom w:val="nil"/>
            </w:tcBorders>
            <w:vAlign w:val="top"/>
          </w:tcPr>
          <w:p w14:paraId="1604ADDE">
            <w:pPr>
              <w:pStyle w:val="10"/>
              <w:spacing w:before="192" w:line="180" w:lineRule="exact"/>
              <w:ind w:left="29"/>
            </w:pPr>
            <w:r>
              <w:rPr>
                <w:spacing w:val="1"/>
                <w:position w:val="1"/>
              </w:rPr>
              <w:t>Other</w:t>
            </w:r>
          </w:p>
        </w:tc>
        <w:tc>
          <w:tcPr>
            <w:tcW w:w="2737" w:type="dxa"/>
            <w:vAlign w:val="top"/>
          </w:tcPr>
          <w:p w14:paraId="09BCCC44">
            <w:pPr>
              <w:pStyle w:val="10"/>
              <w:spacing w:before="91" w:line="205" w:lineRule="auto"/>
              <w:ind w:left="1214"/>
            </w:pPr>
            <w:r>
              <w:rPr>
                <w:spacing w:val="1"/>
              </w:rPr>
              <w:t>Color</w:t>
            </w:r>
          </w:p>
        </w:tc>
        <w:tc>
          <w:tcPr>
            <w:tcW w:w="2388" w:type="dxa"/>
            <w:vAlign w:val="top"/>
          </w:tcPr>
          <w:p w14:paraId="42F91E12">
            <w:pPr>
              <w:pStyle w:val="10"/>
              <w:spacing w:before="93" w:line="205" w:lineRule="auto"/>
              <w:ind w:left="902"/>
            </w:pPr>
            <w:r>
              <w:rPr>
                <w:spacing w:val="1"/>
              </w:rPr>
              <w:t>Unchange</w:t>
            </w:r>
          </w:p>
        </w:tc>
        <w:tc>
          <w:tcPr>
            <w:tcW w:w="1403" w:type="dxa"/>
            <w:vAlign w:val="top"/>
          </w:tcPr>
          <w:p w14:paraId="27014DA1">
            <w:pPr>
              <w:pStyle w:val="10"/>
              <w:spacing w:before="91" w:line="206" w:lineRule="auto"/>
              <w:ind w:left="472"/>
            </w:pPr>
            <w:r>
              <w:rPr>
                <w:spacing w:val="2"/>
              </w:rPr>
              <w:t>conform</w:t>
            </w:r>
          </w:p>
        </w:tc>
        <w:tc>
          <w:tcPr>
            <w:tcW w:w="1180" w:type="dxa"/>
            <w:vMerge w:val="restart"/>
            <w:tcBorders>
              <w:bottom w:val="nil"/>
              <w:right w:val="single" w:color="000000" w:sz="8" w:space="0"/>
            </w:tcBorders>
            <w:vAlign w:val="top"/>
          </w:tcPr>
          <w:p w14:paraId="7410BA85">
            <w:pPr>
              <w:pStyle w:val="10"/>
              <w:spacing w:before="229" w:line="203" w:lineRule="auto"/>
              <w:ind w:left="459"/>
            </w:pPr>
            <w:r>
              <w:t>Pass</w:t>
            </w:r>
          </w:p>
        </w:tc>
      </w:tr>
      <w:tr w14:paraId="56D99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852" w:type="dxa"/>
            <w:vMerge w:val="continue"/>
            <w:tcBorders>
              <w:top w:val="nil"/>
              <w:left w:val="single" w:color="000000" w:sz="8" w:space="0"/>
            </w:tcBorders>
            <w:vAlign w:val="top"/>
          </w:tcPr>
          <w:p w14:paraId="0CA8F567">
            <w:pPr>
              <w:pStyle w:val="10"/>
              <w:rPr>
                <w:sz w:val="21"/>
              </w:rPr>
            </w:pPr>
          </w:p>
        </w:tc>
        <w:tc>
          <w:tcPr>
            <w:tcW w:w="2737" w:type="dxa"/>
            <w:vAlign w:val="top"/>
          </w:tcPr>
          <w:p w14:paraId="272EE8AF">
            <w:pPr>
              <w:pStyle w:val="10"/>
              <w:spacing w:before="56" w:line="181" w:lineRule="exact"/>
              <w:ind w:left="736"/>
            </w:pPr>
            <w:r>
              <w:rPr>
                <w:position w:val="2"/>
              </w:rPr>
              <w:t>Fragrance</w:t>
            </w:r>
            <w:r>
              <w:rPr>
                <w:spacing w:val="6"/>
                <w:position w:val="2"/>
              </w:rPr>
              <w:t xml:space="preserve"> (</w:t>
            </w:r>
            <w:r>
              <w:rPr>
                <w:position w:val="2"/>
              </w:rPr>
              <w:t>if</w:t>
            </w:r>
            <w:r>
              <w:rPr>
                <w:spacing w:val="6"/>
                <w:position w:val="2"/>
              </w:rPr>
              <w:t xml:space="preserve"> </w:t>
            </w:r>
            <w:r>
              <w:rPr>
                <w:position w:val="2"/>
              </w:rPr>
              <w:t>present</w:t>
            </w:r>
            <w:r>
              <w:rPr>
                <w:spacing w:val="6"/>
                <w:position w:val="2"/>
              </w:rPr>
              <w:t>)</w:t>
            </w:r>
          </w:p>
        </w:tc>
        <w:tc>
          <w:tcPr>
            <w:tcW w:w="2388" w:type="dxa"/>
            <w:vAlign w:val="top"/>
          </w:tcPr>
          <w:p w14:paraId="30D86748">
            <w:pPr>
              <w:pStyle w:val="10"/>
              <w:spacing w:before="94" w:line="205" w:lineRule="auto"/>
              <w:ind w:left="902"/>
            </w:pPr>
            <w:r>
              <w:rPr>
                <w:spacing w:val="1"/>
              </w:rPr>
              <w:t>Unchange</w:t>
            </w:r>
          </w:p>
        </w:tc>
        <w:tc>
          <w:tcPr>
            <w:tcW w:w="1403" w:type="dxa"/>
            <w:vAlign w:val="top"/>
          </w:tcPr>
          <w:p w14:paraId="44C4F5DA">
            <w:pPr>
              <w:pStyle w:val="10"/>
              <w:spacing w:before="92" w:line="206" w:lineRule="auto"/>
              <w:ind w:left="472"/>
            </w:pPr>
            <w:r>
              <w:rPr>
                <w:spacing w:val="2"/>
              </w:rPr>
              <w:t>conform</w:t>
            </w:r>
          </w:p>
        </w:tc>
        <w:tc>
          <w:tcPr>
            <w:tcW w:w="1180" w:type="dxa"/>
            <w:vMerge w:val="continue"/>
            <w:tcBorders>
              <w:top w:val="nil"/>
              <w:right w:val="single" w:color="000000" w:sz="8" w:space="0"/>
            </w:tcBorders>
            <w:vAlign w:val="top"/>
          </w:tcPr>
          <w:p w14:paraId="2C5CD036">
            <w:pPr>
              <w:pStyle w:val="10"/>
              <w:rPr>
                <w:sz w:val="21"/>
              </w:rPr>
            </w:pPr>
          </w:p>
        </w:tc>
      </w:tr>
      <w:tr w14:paraId="17D4A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852" w:type="dxa"/>
            <w:tcBorders>
              <w:left w:val="single" w:color="000000" w:sz="8" w:space="0"/>
              <w:bottom w:val="single" w:color="000000" w:sz="8" w:space="0"/>
            </w:tcBorders>
            <w:vAlign w:val="top"/>
          </w:tcPr>
          <w:p w14:paraId="1A5E2F2B">
            <w:pPr>
              <w:pStyle w:val="10"/>
              <w:spacing w:before="230" w:line="203" w:lineRule="auto"/>
              <w:ind w:left="364"/>
            </w:pPr>
            <w:r>
              <w:rPr>
                <w:spacing w:val="1"/>
              </w:rPr>
              <w:t>Remark</w:t>
            </w:r>
          </w:p>
        </w:tc>
        <w:tc>
          <w:tcPr>
            <w:tcW w:w="7708" w:type="dxa"/>
            <w:gridSpan w:val="4"/>
            <w:tcBorders>
              <w:bottom w:val="single" w:color="000000" w:sz="8" w:space="0"/>
              <w:right w:val="single" w:color="000000" w:sz="8" w:space="0"/>
            </w:tcBorders>
            <w:vAlign w:val="top"/>
          </w:tcPr>
          <w:p w14:paraId="26158D9D">
            <w:pPr>
              <w:pStyle w:val="10"/>
              <w:rPr>
                <w:sz w:val="21"/>
              </w:rPr>
            </w:pPr>
          </w:p>
        </w:tc>
      </w:tr>
    </w:tbl>
    <w:p w14:paraId="42693FE0">
      <w:pPr>
        <w:pStyle w:val="2"/>
        <w:spacing w:line="278" w:lineRule="auto"/>
        <w:rPr>
          <w:sz w:val="21"/>
        </w:rPr>
      </w:pPr>
    </w:p>
    <w:p w14:paraId="7DC919EA">
      <w:pPr>
        <w:pStyle w:val="2"/>
        <w:spacing w:line="240" w:lineRule="auto"/>
        <w:ind w:left="0"/>
        <w:rPr>
          <w:rFonts w:hint="eastAsia" w:eastAsia="宋体"/>
          <w:lang w:val="en-US" w:eastAsia="zh-CN"/>
        </w:rPr>
      </w:pPr>
      <w:r>
        <w:rPr>
          <w:rFonts w:hint="eastAsia"/>
        </w:rPr>
        <w:t>Suggest using it as soon as possible after opening the package</w:t>
      </w:r>
      <w:r>
        <w:rPr>
          <w:rFonts w:hint="eastAsia" w:eastAsia="宋体"/>
          <w:lang w:val="en-US" w:eastAsia="zh-CN"/>
        </w:rPr>
        <w:t>.</w:t>
      </w:r>
    </w:p>
    <w:sectPr>
      <w:headerReference r:id="rId5" w:type="default"/>
      <w:pgSz w:w="11905" w:h="16837"/>
      <w:pgMar w:top="1431" w:right="1085" w:bottom="0" w:left="123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5760C">
    <w:pPr>
      <w:pStyle w:val="4"/>
      <w:jc w:val="center"/>
      <w:rPr>
        <w:rFonts w:hint="eastAsia"/>
        <w:b w:val="0"/>
        <w:bCs/>
        <w:sz w:val="18"/>
        <w:szCs w:val="18"/>
        <w:lang w:val="en-US" w:eastAsia="zh-CN"/>
      </w:rPr>
    </w:pPr>
  </w:p>
  <w:p w14:paraId="740EF918">
    <w:pPr>
      <w:pStyle w:val="4"/>
      <w:jc w:val="center"/>
      <w:rPr>
        <w:rFonts w:hint="eastAsia"/>
        <w:b w:val="0"/>
        <w:bCs/>
        <w:sz w:val="18"/>
        <w:szCs w:val="18"/>
        <w:lang w:val="en-US" w:eastAsia="zh-CN"/>
      </w:rPr>
    </w:pPr>
  </w:p>
  <w:p w14:paraId="6231D695">
    <w:pPr>
      <w:pStyle w:val="4"/>
      <w:jc w:val="center"/>
      <w:rPr>
        <w:rFonts w:hint="eastAsia"/>
        <w:b w:val="0"/>
        <w:bCs/>
        <w:sz w:val="18"/>
        <w:szCs w:val="18"/>
        <w:lang w:val="en-US" w:eastAsia="zh-CN"/>
      </w:rPr>
    </w:pPr>
  </w:p>
  <w:p w14:paraId="1D20BD2F">
    <w:pPr>
      <w:pStyle w:val="4"/>
      <w:jc w:val="center"/>
      <w:rPr>
        <w:rFonts w:hint="eastAsia"/>
        <w:b w:val="0"/>
        <w:bCs/>
        <w:sz w:val="18"/>
        <w:szCs w:val="18"/>
        <w:lang w:val="en-US" w:eastAsia="zh-CN"/>
      </w:rPr>
    </w:pPr>
  </w:p>
  <w:p w14:paraId="2BF9D692">
    <w:pPr>
      <w:pStyle w:val="4"/>
      <w:jc w:val="center"/>
      <w:rPr>
        <w:rFonts w:hint="eastAsia"/>
        <w:b w:val="0"/>
        <w:bCs/>
        <w:sz w:val="18"/>
        <w:szCs w:val="18"/>
        <w:lang w:val="en-US" w:eastAsia="zh-CN"/>
      </w:rPr>
    </w:pPr>
    <w:r>
      <w:rPr>
        <w:rFonts w:hint="eastAsia"/>
        <w:b w:val="0"/>
        <w:bCs/>
        <w:sz w:val="18"/>
        <w:szCs w:val="18"/>
        <w:lang w:val="en-US" w:eastAsia="zh-CN"/>
      </w:rPr>
      <w:t>Guangzhou Baiyun Darong Fine Chemical Industry Co.,Ltd</w:t>
    </w:r>
  </w:p>
  <w:p w14:paraId="06DE3832">
    <w:pPr>
      <w:pStyle w:val="3"/>
      <w:jc w:val="center"/>
    </w:pPr>
    <w:r>
      <w:rPr>
        <w:rFonts w:hint="eastAsia"/>
      </w:rPr>
      <w:t>NO.34,Beitai Road,North Village,Taihe Town,Baiyun District,Guangzhou City,Guangdong</w:t>
    </w:r>
    <w:r>
      <w:rPr>
        <w:rFonts w:hint="eastAsia"/>
        <w:lang w:val="en-US" w:eastAsia="zh-CN"/>
      </w:rPr>
      <w:t xml:space="preserve"> Province</w:t>
    </w:r>
    <w:r>
      <w:rPr>
        <w:rFonts w:hint="eastAsia"/>
      </w:rPr>
      <w:t>, China</w:t>
    </w:r>
  </w:p>
  <w:p w14:paraId="50C6008C">
    <w:pPr>
      <w:pStyle w:val="4"/>
      <w:jc w:val="center"/>
      <w:rPr>
        <w:rFonts w:hint="default"/>
        <w:b/>
        <w:sz w:val="18"/>
        <w:szCs w:val="18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zE0NzliMTAzNDVlNTIxMWQxMjlkODkwN2IxNzRiZDEifQ=="/>
  </w:docVars>
  <w:rsids>
    <w:rsidRoot w:val="00000000"/>
    <w:rsid w:val="02A553EC"/>
    <w:rsid w:val="369A60F2"/>
    <w:rsid w:val="5E561DD4"/>
    <w:rsid w:val="5FE1582B"/>
    <w:rsid w:val="6B7E19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13"/>
      <w:szCs w:val="13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Emphasis"/>
    <w:basedOn w:val="7"/>
    <w:qFormat/>
    <w:uiPriority w:val="0"/>
    <w:rPr>
      <w:i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Arial" w:hAnsi="Arial" w:eastAsia="Arial" w:cs="Arial"/>
      <w:sz w:val="13"/>
      <w:szCs w:val="1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otnotes" Target="footnote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endnotes" Target="end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4d90cf-ed6b-4ce0-b8e8-fc4859e6e114">
      <Terms xmlns="http://schemas.microsoft.com/office/infopath/2007/PartnerControls"/>
    </lcf76f155ced4ddcb4097134ff3c332f>
    <TaxCatchAll xmlns="ce81a4cc-fb8a-49e1-b3c5-31c0323bed97" xsi:nil="true"/>
  </documentManagement>
</p:properties>
</file>

<file path=customXml/itemProps1.xml><?xml version="1.0" encoding="utf-8"?>
<ds:datastoreItem xmlns:ds="http://schemas.openxmlformats.org/officeDocument/2006/customXml" ds:itemID="{2DE4735C-4391-426E-9309-00A100698689}"/>
</file>

<file path=customXml/itemProps2.xml><?xml version="1.0" encoding="utf-8"?>
<ds:datastoreItem xmlns:ds="http://schemas.openxmlformats.org/officeDocument/2006/customXml" ds:itemID="{07403E5A-943B-418A-ACDA-6027A3E50337}"/>
</file>

<file path=customXml/itemProps3.xml><?xml version="1.0" encoding="utf-8"?>
<ds:datastoreItem xmlns:ds="http://schemas.openxmlformats.org/officeDocument/2006/customXml" ds:itemID="{C8F68AD3-02F9-4ECC-B17F-FA134A0FB68D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244</Words>
  <Characters>1292</Characters>
  <TotalTime>0</TotalTime>
  <ScaleCrop>false</ScaleCrop>
  <LinksUpToDate>false</LinksUpToDate>
  <CharactersWithSpaces>1503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卫莱</cp:lastModifiedBy>
  <dcterms:created xsi:type="dcterms:W3CDTF">2020-05-28T17:25:00Z</dcterms:created>
  <dcterms:modified xsi:type="dcterms:W3CDTF">2024-06-26T08:02:20Z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2024-06-26T15:12:45Z</vt:filetime>
  </property>
  <property fmtid="{D5CDD505-2E9C-101B-9397-08002B2CF9AE}" pid="4" name="KSOProductBuildVer">
    <vt:lpwstr>2052-12.1.0.17133</vt:lpwstr>
  </property>
  <property fmtid="{D5CDD505-2E9C-101B-9397-08002B2CF9AE}" pid="5" name="ICV">
    <vt:lpwstr>94B3FC6130F544ACB36D5CD2A5C70108_12</vt:lpwstr>
  </property>
  <property fmtid="{D5CDD505-2E9C-101B-9397-08002B2CF9AE}" pid="6" name="ContentTypeId">
    <vt:lpwstr>0x0101007BBF1D07727A474A9545CDE5E8A3312F</vt:lpwstr>
  </property>
</Properties>
</file>